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bCs/>
          <w:sz w:val="32"/>
          <w:szCs w:val="32"/>
        </w:rPr>
      </w:pPr>
      <w:r>
        <w:rPr>
          <w:rFonts w:hint="eastAsia" w:ascii="黑体" w:hAnsi="黑体" w:eastAsia="黑体" w:cs="黑体"/>
          <w:bCs/>
          <w:sz w:val="32"/>
          <w:szCs w:val="32"/>
        </w:rPr>
        <w:t>附件1</w:t>
      </w:r>
    </w:p>
    <w:p>
      <w:pPr>
        <w:spacing w:line="48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“嘉陵江英才工程”2021年度引才需求信息表</w:t>
      </w:r>
    </w:p>
    <w:p>
      <w:pPr>
        <w:spacing w:line="480" w:lineRule="exact"/>
        <w:jc w:val="center"/>
        <w:rPr>
          <w:rFonts w:ascii="方正小标宋简体" w:hAnsi="仿宋" w:eastAsia="方正小标宋简体"/>
          <w:bCs/>
          <w:sz w:val="44"/>
          <w:szCs w:val="44"/>
        </w:rPr>
      </w:pPr>
    </w:p>
    <w:tbl>
      <w:tblPr>
        <w:tblStyle w:val="5"/>
        <w:tblW w:w="14021" w:type="dxa"/>
        <w:jc w:val="center"/>
        <w:tblInd w:w="0" w:type="dxa"/>
        <w:tblLayout w:type="fixed"/>
        <w:tblCellMar>
          <w:top w:w="0" w:type="dxa"/>
          <w:left w:w="108" w:type="dxa"/>
          <w:bottom w:w="0" w:type="dxa"/>
          <w:right w:w="108" w:type="dxa"/>
        </w:tblCellMar>
      </w:tblPr>
      <w:tblGrid>
        <w:gridCol w:w="1174"/>
        <w:gridCol w:w="1222"/>
        <w:gridCol w:w="1163"/>
        <w:gridCol w:w="860"/>
        <w:gridCol w:w="1740"/>
        <w:gridCol w:w="1160"/>
        <w:gridCol w:w="883"/>
        <w:gridCol w:w="1787"/>
        <w:gridCol w:w="690"/>
        <w:gridCol w:w="1241"/>
        <w:gridCol w:w="2101"/>
      </w:tblGrid>
      <w:tr>
        <w:tblPrEx>
          <w:tblLayout w:type="fixed"/>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单位名称</w:t>
            </w:r>
          </w:p>
        </w:tc>
        <w:tc>
          <w:tcPr>
            <w:tcW w:w="23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四川省南充卫生学校</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附属医院</w:t>
            </w:r>
          </w:p>
        </w:tc>
        <w:tc>
          <w:tcPr>
            <w:tcW w:w="86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单位类别</w:t>
            </w:r>
          </w:p>
        </w:tc>
        <w:tc>
          <w:tcPr>
            <w:tcW w:w="17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事业单位</w:t>
            </w:r>
          </w:p>
        </w:tc>
        <w:tc>
          <w:tcPr>
            <w:tcW w:w="116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网址</w:t>
            </w:r>
          </w:p>
        </w:tc>
        <w:tc>
          <w:tcPr>
            <w:tcW w:w="267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http://www.ncwxfy.com/</w:t>
            </w:r>
          </w:p>
        </w:tc>
        <w:tc>
          <w:tcPr>
            <w:tcW w:w="69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邮政</w:t>
            </w:r>
            <w:r>
              <w:rPr>
                <w:rFonts w:ascii="仿宋" w:hAnsi="仿宋" w:eastAsia="仿宋"/>
                <w:bCs/>
                <w:color w:val="000000"/>
                <w:kern w:val="0"/>
                <w:sz w:val="24"/>
              </w:rPr>
              <w:br w:type="textWrapping"/>
            </w:r>
            <w:r>
              <w:rPr>
                <w:rFonts w:ascii="仿宋" w:hAnsi="仿宋" w:eastAsia="仿宋"/>
                <w:bCs/>
                <w:color w:val="000000"/>
                <w:kern w:val="0"/>
                <w:sz w:val="24"/>
              </w:rPr>
              <w:t>编码</w:t>
            </w:r>
          </w:p>
        </w:tc>
        <w:tc>
          <w:tcPr>
            <w:tcW w:w="334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637000</w:t>
            </w:r>
          </w:p>
        </w:tc>
      </w:tr>
      <w:tr>
        <w:tblPrEx>
          <w:tblLayout w:type="fixed"/>
          <w:tblCellMar>
            <w:top w:w="0" w:type="dxa"/>
            <w:left w:w="108" w:type="dxa"/>
            <w:bottom w:w="0" w:type="dxa"/>
            <w:right w:w="108" w:type="dxa"/>
          </w:tblCellMar>
        </w:tblPrEx>
        <w:trPr>
          <w:trHeight w:val="624"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联系人</w:t>
            </w:r>
          </w:p>
        </w:tc>
        <w:tc>
          <w:tcPr>
            <w:tcW w:w="23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王婵</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联系电话</w:t>
            </w:r>
          </w:p>
        </w:tc>
        <w:tc>
          <w:tcPr>
            <w:tcW w:w="17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0817-2395796</w:t>
            </w:r>
          </w:p>
        </w:tc>
        <w:tc>
          <w:tcPr>
            <w:tcW w:w="116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E-mail</w:t>
            </w:r>
          </w:p>
        </w:tc>
        <w:tc>
          <w:tcPr>
            <w:tcW w:w="267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ncwsxx0817@163.com</w:t>
            </w:r>
          </w:p>
        </w:tc>
        <w:tc>
          <w:tcPr>
            <w:tcW w:w="69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通讯</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地址</w:t>
            </w:r>
          </w:p>
        </w:tc>
        <w:tc>
          <w:tcPr>
            <w:tcW w:w="334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四川省南充市顺庆区潆溪</w:t>
            </w:r>
            <w:r>
              <w:rPr>
                <w:rFonts w:hint="eastAsia" w:ascii="仿宋" w:hAnsi="仿宋" w:eastAsia="仿宋"/>
                <w:bCs/>
                <w:color w:val="000000"/>
                <w:kern w:val="0"/>
                <w:sz w:val="24"/>
              </w:rPr>
              <w:t>街道</w:t>
            </w:r>
            <w:r>
              <w:rPr>
                <w:rFonts w:ascii="仿宋" w:hAnsi="仿宋" w:eastAsia="仿宋"/>
                <w:bCs/>
                <w:color w:val="000000"/>
                <w:kern w:val="0"/>
                <w:sz w:val="24"/>
              </w:rPr>
              <w:t>潆康北路107号</w:t>
            </w:r>
          </w:p>
        </w:tc>
      </w:tr>
      <w:tr>
        <w:tblPrEx>
          <w:tblLayout w:type="fixed"/>
          <w:tblCellMar>
            <w:top w:w="0" w:type="dxa"/>
            <w:left w:w="108" w:type="dxa"/>
            <w:bottom w:w="0" w:type="dxa"/>
            <w:right w:w="108" w:type="dxa"/>
          </w:tblCellMar>
        </w:tblPrEx>
        <w:trPr>
          <w:trHeight w:val="2199"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w:t>
            </w:r>
            <w:r>
              <w:rPr>
                <w:rFonts w:hint="eastAsia" w:ascii="仿宋" w:hAnsi="仿宋" w:eastAsia="仿宋"/>
                <w:bCs/>
                <w:color w:val="000000"/>
                <w:kern w:val="0"/>
                <w:sz w:val="24"/>
              </w:rPr>
              <w:t>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南充卫校附属医院创建于1992年，是一所集医疗、科研、教学、预防保健为一体的综合性公立医院，同时也是南充市及周边地区的城镇职工、城镇居民及新农合医疗保险定点医院。设有肿瘤姑息治疗、医疗美容、烧伤整形科、消化内镜科、痔瘘科、五官科、静脉曲张科等专科及内科、外科、妇产科、儿科、中医科、口腔科、康复理疗科、预防保健科及社区卫生服务科等临床科室以及超声、心电、放射、检验、中西药房等医技科室。</w:t>
            </w:r>
          </w:p>
        </w:tc>
      </w:tr>
      <w:tr>
        <w:tblPrEx>
          <w:tblLayout w:type="fixed"/>
          <w:tblCellMar>
            <w:top w:w="0" w:type="dxa"/>
            <w:left w:w="108" w:type="dxa"/>
            <w:bottom w:w="0" w:type="dxa"/>
            <w:right w:w="108" w:type="dxa"/>
          </w:tblCellMar>
        </w:tblPrEx>
        <w:trPr>
          <w:trHeight w:val="624"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引进岗位</w:t>
            </w:r>
          </w:p>
        </w:tc>
        <w:tc>
          <w:tcPr>
            <w:tcW w:w="2023"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专业</w:t>
            </w:r>
          </w:p>
        </w:tc>
        <w:tc>
          <w:tcPr>
            <w:tcW w:w="174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职务职称</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要求</w:t>
            </w:r>
          </w:p>
        </w:tc>
        <w:tc>
          <w:tcPr>
            <w:tcW w:w="2043"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学历学位</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要求</w:t>
            </w:r>
          </w:p>
        </w:tc>
        <w:tc>
          <w:tcPr>
            <w:tcW w:w="178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其他要求</w:t>
            </w:r>
          </w:p>
        </w:tc>
        <w:tc>
          <w:tcPr>
            <w:tcW w:w="69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需求</w:t>
            </w:r>
            <w:r>
              <w:rPr>
                <w:rFonts w:ascii="仿宋" w:hAnsi="仿宋" w:eastAsia="仿宋"/>
                <w:bCs/>
                <w:color w:val="000000"/>
                <w:kern w:val="0"/>
                <w:sz w:val="24"/>
              </w:rPr>
              <w:br w:type="textWrapping"/>
            </w:r>
            <w:r>
              <w:rPr>
                <w:rFonts w:ascii="仿宋" w:hAnsi="仿宋" w:eastAsia="仿宋"/>
                <w:bCs/>
                <w:color w:val="000000"/>
                <w:kern w:val="0"/>
                <w:sz w:val="24"/>
              </w:rPr>
              <w:t>人数</w:t>
            </w:r>
          </w:p>
        </w:tc>
        <w:tc>
          <w:tcPr>
            <w:tcW w:w="124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w:t>
            </w:r>
            <w:r>
              <w:rPr>
                <w:rFonts w:ascii="仿宋" w:hAnsi="仿宋" w:eastAsia="仿宋"/>
                <w:bCs/>
                <w:color w:val="000000"/>
                <w:kern w:val="0"/>
                <w:sz w:val="24"/>
              </w:rPr>
              <w:br w:type="textWrapping"/>
            </w:r>
            <w:r>
              <w:rPr>
                <w:rFonts w:ascii="仿宋" w:hAnsi="仿宋" w:eastAsia="仿宋"/>
                <w:bCs/>
                <w:color w:val="000000"/>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提供薪酬、生活待遇或其他优惠条件</w:t>
            </w:r>
          </w:p>
        </w:tc>
      </w:tr>
      <w:tr>
        <w:tblPrEx>
          <w:tblLayout w:type="fixed"/>
          <w:tblCellMar>
            <w:top w:w="0" w:type="dxa"/>
            <w:left w:w="108" w:type="dxa"/>
            <w:bottom w:w="0" w:type="dxa"/>
            <w:right w:w="108" w:type="dxa"/>
          </w:tblCellMar>
        </w:tblPrEx>
        <w:trPr>
          <w:trHeight w:val="624"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学科带头人</w:t>
            </w:r>
          </w:p>
        </w:tc>
        <w:tc>
          <w:tcPr>
            <w:tcW w:w="2023"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肿瘤学</w:t>
            </w:r>
          </w:p>
        </w:tc>
        <w:tc>
          <w:tcPr>
            <w:tcW w:w="174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043" w:type="dxa"/>
            <w:gridSpan w:val="2"/>
            <w:vMerge w:val="restart"/>
            <w:tcBorders>
              <w:top w:val="nil"/>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硕士研究生</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及以上</w:t>
            </w:r>
          </w:p>
        </w:tc>
        <w:tc>
          <w:tcPr>
            <w:tcW w:w="1787" w:type="dxa"/>
            <w:vMerge w:val="restart"/>
            <w:tcBorders>
              <w:top w:val="nil"/>
              <w:left w:val="nil"/>
              <w:right w:val="single" w:color="auto" w:sz="4" w:space="0"/>
            </w:tcBorders>
            <w:tcMar>
              <w:top w:w="57" w:type="dxa"/>
              <w:bottom w:w="57" w:type="dxa"/>
            </w:tcMar>
            <w:vAlign w:val="center"/>
          </w:tcPr>
          <w:p>
            <w:pPr>
              <w:widowControl/>
              <w:snapToGrid w:val="0"/>
              <w:spacing w:line="300" w:lineRule="exact"/>
              <w:jc w:val="center"/>
              <w:rPr>
                <w:rStyle w:val="6"/>
                <w:rFonts w:ascii="仿宋" w:hAnsi="仿宋" w:eastAsia="仿宋"/>
                <w:b w:val="0"/>
              </w:rPr>
            </w:pPr>
            <w:r>
              <w:rPr>
                <w:rStyle w:val="6"/>
                <w:rFonts w:hint="eastAsia" w:ascii="仿宋" w:hAnsi="仿宋" w:eastAsia="仿宋"/>
                <w:b w:val="0"/>
              </w:rPr>
              <w:t>年龄不超过</w:t>
            </w:r>
          </w:p>
          <w:p>
            <w:pPr>
              <w:widowControl/>
              <w:spacing w:line="300" w:lineRule="exact"/>
              <w:jc w:val="center"/>
              <w:rPr>
                <w:rFonts w:ascii="仿宋" w:hAnsi="仿宋" w:eastAsia="仿宋"/>
                <w:bCs/>
                <w:color w:val="000000"/>
                <w:kern w:val="0"/>
                <w:sz w:val="24"/>
              </w:rPr>
            </w:pPr>
            <w:r>
              <w:rPr>
                <w:rStyle w:val="6"/>
                <w:rFonts w:hint="eastAsia" w:ascii="仿宋" w:hAnsi="仿宋" w:eastAsia="仿宋"/>
                <w:b w:val="0"/>
              </w:rPr>
              <w:t>40</w:t>
            </w:r>
            <w:r>
              <w:rPr>
                <w:rStyle w:val="6"/>
                <w:rFonts w:ascii="仿宋" w:hAnsi="仿宋" w:eastAsia="仿宋"/>
                <w:b w:val="0"/>
              </w:rPr>
              <w:t>周岁</w:t>
            </w:r>
          </w:p>
        </w:tc>
        <w:tc>
          <w:tcPr>
            <w:tcW w:w="69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2</w:t>
            </w:r>
          </w:p>
        </w:tc>
        <w:tc>
          <w:tcPr>
            <w:tcW w:w="1241" w:type="dxa"/>
            <w:vMerge w:val="restart"/>
            <w:tcBorders>
              <w:top w:val="nil"/>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编制内</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Layout w:type="fixed"/>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学科带头人</w:t>
            </w:r>
          </w:p>
        </w:tc>
        <w:tc>
          <w:tcPr>
            <w:tcW w:w="202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老年医学</w:t>
            </w:r>
          </w:p>
        </w:tc>
        <w:tc>
          <w:tcPr>
            <w:tcW w:w="17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043" w:type="dxa"/>
            <w:gridSpan w:val="2"/>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87"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69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2</w:t>
            </w:r>
          </w:p>
        </w:tc>
        <w:tc>
          <w:tcPr>
            <w:tcW w:w="1241" w:type="dxa"/>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bl>
    <w:p>
      <w:pPr>
        <w:spacing w:line="560" w:lineRule="exact"/>
        <w:rPr>
          <w:rFonts w:ascii="楷体" w:hAnsi="楷体" w:eastAsia="楷体"/>
          <w:sz w:val="32"/>
          <w:szCs w:val="32"/>
        </w:rPr>
      </w:pPr>
    </w:p>
    <w:p>
      <w:pPr>
        <w:spacing w:line="480" w:lineRule="exact"/>
        <w:ind w:right="840" w:rightChars="400"/>
        <w:rPr>
          <w:rFonts w:ascii="仿宋" w:hAnsi="仿宋" w:eastAsia="仿宋"/>
          <w:bCs/>
          <w:sz w:val="32"/>
          <w:szCs w:val="32"/>
        </w:rPr>
      </w:pPr>
    </w:p>
    <w:p>
      <w:pPr>
        <w:spacing w:line="480" w:lineRule="exact"/>
        <w:ind w:right="840" w:rightChars="400"/>
        <w:rPr>
          <w:rFonts w:ascii="仿宋" w:hAnsi="仿宋" w:eastAsia="仿宋"/>
          <w:bCs/>
          <w:sz w:val="32"/>
          <w:szCs w:val="32"/>
        </w:rPr>
        <w:sectPr>
          <w:pgSz w:w="16838" w:h="11906" w:orient="landscape"/>
          <w:pgMar w:top="1474" w:right="1701" w:bottom="1588" w:left="1418" w:header="851" w:footer="794" w:gutter="0"/>
          <w:pgNumType w:fmt="numberInDash" w:chapStyle="1"/>
          <w:cols w:space="720" w:num="1"/>
          <w:docGrid w:type="lines" w:linePitch="312" w:charSpace="0"/>
        </w:sectPr>
      </w:pPr>
    </w:p>
    <w:p>
      <w:pPr>
        <w:spacing w:line="640" w:lineRule="exact"/>
        <w:rPr>
          <w:rFonts w:ascii="黑体" w:hAnsi="黑体" w:eastAsia="黑体" w:cs="黑体"/>
          <w:sz w:val="32"/>
          <w:szCs w:val="32"/>
        </w:rPr>
      </w:pPr>
      <w:r>
        <w:rPr>
          <w:rFonts w:hint="eastAsia" w:ascii="黑体" w:hAnsi="黑体" w:eastAsia="黑体" w:cs="黑体"/>
          <w:sz w:val="32"/>
          <w:szCs w:val="32"/>
        </w:rPr>
        <w:t>附件2</w:t>
      </w:r>
    </w:p>
    <w:p>
      <w:pPr>
        <w:spacing w:line="640" w:lineRule="exact"/>
        <w:ind w:firstLine="2200" w:firstLineChars="500"/>
        <w:jc w:val="both"/>
        <w:rPr>
          <w:rFonts w:ascii="方正小标宋简体" w:hAnsi="仿宋" w:eastAsia="方正小标宋简体"/>
          <w:sz w:val="44"/>
          <w:szCs w:val="44"/>
        </w:rPr>
      </w:pPr>
      <w:r>
        <w:rPr>
          <w:rFonts w:hint="eastAsia" w:ascii="方正小标宋简体" w:hAnsi="仿宋" w:eastAsia="方正小标宋简体"/>
          <w:sz w:val="44"/>
          <w:szCs w:val="44"/>
        </w:rPr>
        <w:t>四川省南充卫生学校附属医院</w:t>
      </w:r>
    </w:p>
    <w:p>
      <w:pPr>
        <w:spacing w:line="6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2021年“嘉陵江英才工程”公开引进高层次</w:t>
      </w:r>
    </w:p>
    <w:p>
      <w:pPr>
        <w:spacing w:line="6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人才面试考生新冠肺炎疫情防控告知暨承诺书</w:t>
      </w:r>
    </w:p>
    <w:p>
      <w:pPr>
        <w:spacing w:line="640" w:lineRule="exact"/>
        <w:jc w:val="center"/>
        <w:rPr>
          <w:rFonts w:ascii="方正小标宋简体" w:hAnsi="仿宋" w:eastAsia="方正小标宋简体"/>
          <w:sz w:val="44"/>
          <w:szCs w:val="44"/>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为避免影响考试，来自国内疫情中高风险地区以及与新冠病毒肺炎确诊、疑似病例或无症状感染者有密切接触史的考生，应至少在面试资格审查前15天到达南充或川内其他低风险地区，按照考点当地卫生健康部门疫情防控有关规定，自觉接受隔离观察、健康管理和核酸检测，并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三、考生赴考时如乘坐公共交通工具，需要全程佩戴口罩，可佩戴一次性手套，并做好手部卫生，同时注意社交距离。</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四、面试当天入场时因体温异常、咳嗽等症状，经现场医务人员确认有呼吸道异常症状的考生，不再参加此次面试。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六、考生在领取面试通知书前须签署《四川省南充卫生学校</w:t>
      </w:r>
      <w:r>
        <w:rPr>
          <w:rFonts w:hint="eastAsia" w:ascii="仿宋" w:hAnsi="仿宋" w:eastAsia="仿宋"/>
          <w:sz w:val="32"/>
          <w:szCs w:val="32"/>
          <w:lang w:val="en-US" w:eastAsia="zh-CN"/>
        </w:rPr>
        <w:t>附属医院</w:t>
      </w:r>
      <w:bookmarkStart w:id="0" w:name="_GoBack"/>
      <w:bookmarkEnd w:id="0"/>
      <w:r>
        <w:rPr>
          <w:rFonts w:hint="eastAsia" w:ascii="仿宋" w:hAnsi="仿宋" w:eastAsia="仿宋"/>
          <w:sz w:val="32"/>
          <w:szCs w:val="32"/>
        </w:rPr>
        <w:t>2021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right="840" w:rightChars="400"/>
        <w:jc w:val="right"/>
        <w:rPr>
          <w:rFonts w:ascii="仿宋" w:hAnsi="仿宋" w:eastAsia="仿宋"/>
          <w:sz w:val="32"/>
          <w:szCs w:val="32"/>
        </w:rPr>
      </w:pPr>
      <w:r>
        <w:rPr>
          <w:rFonts w:hint="eastAsia" w:ascii="仿宋" w:hAnsi="仿宋" w:eastAsia="仿宋"/>
          <w:sz w:val="32"/>
          <w:szCs w:val="32"/>
        </w:rPr>
        <w:t>四川省南充卫生学校附属医院</w:t>
      </w:r>
    </w:p>
    <w:p>
      <w:pPr>
        <w:spacing w:line="520" w:lineRule="exact"/>
        <w:ind w:right="945" w:rightChars="450"/>
        <w:jc w:val="right"/>
        <w:rPr>
          <w:rFonts w:ascii="仿宋" w:hAnsi="仿宋" w:eastAsia="仿宋"/>
          <w:sz w:val="32"/>
          <w:szCs w:val="32"/>
        </w:rPr>
      </w:pPr>
      <w:r>
        <w:rPr>
          <w:rFonts w:hint="eastAsia" w:ascii="仿宋" w:hAnsi="仿宋" w:eastAsia="仿宋"/>
          <w:sz w:val="32"/>
          <w:szCs w:val="32"/>
        </w:rPr>
        <w:t>2021年xx月xx日</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本人已认真阅读《四川省南充卫生学校</w:t>
      </w:r>
      <w:r>
        <w:rPr>
          <w:rFonts w:hint="eastAsia" w:ascii="仿宋" w:hAnsi="仿宋" w:eastAsia="仿宋"/>
          <w:sz w:val="32"/>
          <w:szCs w:val="32"/>
          <w:lang w:val="en-US" w:eastAsia="zh-CN"/>
        </w:rPr>
        <w:t>附属医院</w:t>
      </w:r>
      <w:r>
        <w:rPr>
          <w:rFonts w:hint="eastAsia" w:ascii="仿宋" w:hAnsi="仿宋" w:eastAsia="仿宋"/>
          <w:sz w:val="32"/>
          <w:szCs w:val="32"/>
        </w:rPr>
        <w:t>2021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承诺人（签字）：</w:t>
      </w:r>
    </w:p>
    <w:p/>
    <w:sectPr>
      <w:footerReference r:id="rId5" w:type="first"/>
      <w:footerReference r:id="rId3" w:type="default"/>
      <w:footerReference r:id="rId4" w:type="even"/>
      <w:pgSz w:w="11906" w:h="16838"/>
      <w:pgMar w:top="1701" w:right="1588" w:bottom="1418" w:left="1474" w:header="851" w:footer="794" w:gutter="0"/>
      <w:pgNumType w:fmt="numberInDash" w:chapStyle="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52" w:rightChars="12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2"/>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2"/>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2EF5B01"/>
    <w:rsid w:val="001848C9"/>
    <w:rsid w:val="003F5730"/>
    <w:rsid w:val="0070661A"/>
    <w:rsid w:val="347B1FF1"/>
    <w:rsid w:val="506D22CE"/>
    <w:rsid w:val="62EF5B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1"/>
    <w:qFormat/>
    <w:uiPriority w:val="0"/>
    <w:rPr>
      <w:rFonts w:ascii="方正仿宋简体" w:hAnsi="方正仿宋简体" w:eastAsia="方正仿宋简体" w:cs="方正仿宋简体"/>
      <w:b/>
      <w:color w:val="000000"/>
      <w:sz w:val="24"/>
      <w:szCs w:val="24"/>
      <w:u w:val="none"/>
    </w:rPr>
  </w:style>
  <w:style w:type="character" w:customStyle="1" w:styleId="7">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246</Words>
  <Characters>1408</Characters>
  <Lines>11</Lines>
  <Paragraphs>3</Paragraphs>
  <TotalTime>5</TotalTime>
  <ScaleCrop>false</ScaleCrop>
  <LinksUpToDate>false</LinksUpToDate>
  <CharactersWithSpaces>1651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2021-05-21T13:12:00Z</dcterms:created>
  <dc:creator>Administrator</dc:creator>
  <cp:lastModifiedBy>Administrator</cp:lastModifiedBy>
  <dcterms:modified xsi:type="dcterms:W3CDTF">2021-05-21T14:19:38Z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