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附件1</w:t>
      </w:r>
    </w:p>
    <w:tbl>
      <w:tblPr>
        <w:tblStyle w:val="5"/>
        <w:tblpPr w:leftFromText="180" w:rightFromText="180" w:vertAnchor="text" w:horzAnchor="page" w:tblpX="1386" w:tblpY="511"/>
        <w:tblOverlap w:val="never"/>
        <w:tblW w:w="14021" w:type="dxa"/>
        <w:tblInd w:w="0" w:type="dxa"/>
        <w:tblLayout w:type="fixed"/>
        <w:tblCellMar>
          <w:top w:w="0" w:type="dxa"/>
          <w:left w:w="108" w:type="dxa"/>
          <w:bottom w:w="0" w:type="dxa"/>
          <w:right w:w="108" w:type="dxa"/>
        </w:tblCellMar>
      </w:tblPr>
      <w:tblGrid>
        <w:gridCol w:w="1174"/>
        <w:gridCol w:w="1231"/>
        <w:gridCol w:w="1383"/>
        <w:gridCol w:w="1662"/>
        <w:gridCol w:w="1595"/>
        <w:gridCol w:w="932"/>
        <w:gridCol w:w="225"/>
        <w:gridCol w:w="1725"/>
        <w:gridCol w:w="753"/>
        <w:gridCol w:w="1240"/>
        <w:gridCol w:w="2101"/>
      </w:tblGrid>
      <w:tr>
        <w:tblPrEx>
          <w:tblLayout w:type="fixed"/>
          <w:tblCellMar>
            <w:top w:w="0" w:type="dxa"/>
            <w:left w:w="108" w:type="dxa"/>
            <w:bottom w:w="0" w:type="dxa"/>
            <w:right w:w="108" w:type="dxa"/>
          </w:tblCellMar>
        </w:tblPrEx>
        <w:trPr>
          <w:trHeight w:val="624"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单位名称</w:t>
            </w:r>
          </w:p>
        </w:tc>
        <w:tc>
          <w:tcPr>
            <w:tcW w:w="26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四川省南充卫生学校</w:t>
            </w:r>
          </w:p>
        </w:tc>
        <w:tc>
          <w:tcPr>
            <w:tcW w:w="16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单位类别</w:t>
            </w:r>
          </w:p>
        </w:tc>
        <w:tc>
          <w:tcPr>
            <w:tcW w:w="15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事业单位</w:t>
            </w:r>
          </w:p>
        </w:tc>
        <w:tc>
          <w:tcPr>
            <w:tcW w:w="93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网址</w:t>
            </w:r>
          </w:p>
        </w:tc>
        <w:tc>
          <w:tcPr>
            <w:tcW w:w="19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http://www.ncwxfy.com/</w:t>
            </w:r>
          </w:p>
        </w:tc>
        <w:tc>
          <w:tcPr>
            <w:tcW w:w="75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邮政</w:t>
            </w:r>
            <w:r>
              <w:rPr>
                <w:rFonts w:ascii="仿宋" w:hAnsi="仿宋" w:eastAsia="仿宋"/>
                <w:bCs/>
                <w:color w:val="000000"/>
                <w:kern w:val="0"/>
                <w:sz w:val="24"/>
              </w:rPr>
              <w:br w:type="textWrapping"/>
            </w:r>
            <w:r>
              <w:rPr>
                <w:rFonts w:ascii="仿宋" w:hAnsi="仿宋" w:eastAsia="仿宋"/>
                <w:bCs/>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637000</w:t>
            </w:r>
          </w:p>
        </w:tc>
      </w:tr>
      <w:tr>
        <w:tblPrEx>
          <w:tblLayout w:type="fixed"/>
          <w:tblCellMar>
            <w:top w:w="0" w:type="dxa"/>
            <w:left w:w="108" w:type="dxa"/>
            <w:bottom w:w="0" w:type="dxa"/>
            <w:right w:w="108" w:type="dxa"/>
          </w:tblCellMar>
        </w:tblPrEx>
        <w:trPr>
          <w:trHeight w:val="624"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联系人</w:t>
            </w:r>
          </w:p>
        </w:tc>
        <w:tc>
          <w:tcPr>
            <w:tcW w:w="26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王婵</w:t>
            </w:r>
          </w:p>
        </w:tc>
        <w:tc>
          <w:tcPr>
            <w:tcW w:w="166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联系电话</w:t>
            </w:r>
          </w:p>
        </w:tc>
        <w:tc>
          <w:tcPr>
            <w:tcW w:w="15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0817-2395796</w:t>
            </w:r>
          </w:p>
        </w:tc>
        <w:tc>
          <w:tcPr>
            <w:tcW w:w="93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E-mail</w:t>
            </w:r>
          </w:p>
        </w:tc>
        <w:tc>
          <w:tcPr>
            <w:tcW w:w="19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ncwsxx0817@163.com</w:t>
            </w:r>
          </w:p>
        </w:tc>
        <w:tc>
          <w:tcPr>
            <w:tcW w:w="75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通讯</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四川省南充市顺庆区潆溪</w:t>
            </w:r>
            <w:r>
              <w:rPr>
                <w:rFonts w:hint="eastAsia" w:ascii="仿宋" w:hAnsi="仿宋" w:eastAsia="仿宋"/>
                <w:bCs/>
                <w:color w:val="000000"/>
                <w:kern w:val="0"/>
                <w:sz w:val="24"/>
              </w:rPr>
              <w:t>街道</w:t>
            </w:r>
            <w:r>
              <w:rPr>
                <w:rFonts w:ascii="仿宋" w:hAnsi="仿宋" w:eastAsia="仿宋"/>
                <w:bCs/>
                <w:color w:val="000000"/>
                <w:kern w:val="0"/>
                <w:sz w:val="24"/>
              </w:rPr>
              <w:t>潆康北路107号</w:t>
            </w:r>
          </w:p>
        </w:tc>
      </w:tr>
      <w:tr>
        <w:tblPrEx>
          <w:tblLayout w:type="fixed"/>
          <w:tblCellMar>
            <w:top w:w="0" w:type="dxa"/>
            <w:left w:w="108" w:type="dxa"/>
            <w:bottom w:w="0" w:type="dxa"/>
            <w:right w:w="108" w:type="dxa"/>
          </w:tblCellMar>
        </w:tblPrEx>
        <w:trPr>
          <w:trHeight w:val="1576"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 xml:space="preserve">    四川省南充卫生学校始建于1951年，是我市唯一的国家示范学校建设单位。校园占地面积211.5亩，校舍面积9.734万平方米；固定资产上亿元，实验设备总值达3000余万元；建有实验设备齐全的实训基地10个，实训室110间；有一所国家二级综合性附属医院和45个县级以上医院的实习基地。中专开设有护理、医学检验技术、助产、医学影像技术、药剂、农村医学、中医康复保健等8个专业，其中护理和医学检验技术专业为省级重点专业；五年制大专和成人专科开设有临床医学、护理、助产、医学检验技术、药学、医学影像技术、中医等7个专业。</w:t>
            </w:r>
          </w:p>
        </w:tc>
      </w:tr>
      <w:tr>
        <w:tblPrEx>
          <w:tblLayout w:type="fixed"/>
          <w:tblCellMar>
            <w:top w:w="0" w:type="dxa"/>
            <w:left w:w="108" w:type="dxa"/>
            <w:bottom w:w="0" w:type="dxa"/>
            <w:right w:w="108" w:type="dxa"/>
          </w:tblCellMar>
        </w:tblPrEx>
        <w:trPr>
          <w:trHeight w:val="624"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序号</w:t>
            </w:r>
          </w:p>
        </w:tc>
        <w:tc>
          <w:tcPr>
            <w:tcW w:w="123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引进岗位</w:t>
            </w:r>
          </w:p>
        </w:tc>
        <w:tc>
          <w:tcPr>
            <w:tcW w:w="304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专业</w:t>
            </w:r>
          </w:p>
        </w:tc>
        <w:tc>
          <w:tcPr>
            <w:tcW w:w="159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职务职称</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要求</w:t>
            </w:r>
          </w:p>
        </w:tc>
        <w:tc>
          <w:tcPr>
            <w:tcW w:w="1157"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学历</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学位</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要求</w:t>
            </w:r>
          </w:p>
        </w:tc>
        <w:tc>
          <w:tcPr>
            <w:tcW w:w="172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其他要求</w:t>
            </w:r>
          </w:p>
        </w:tc>
        <w:tc>
          <w:tcPr>
            <w:tcW w:w="75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需求</w:t>
            </w:r>
            <w:r>
              <w:rPr>
                <w:rFonts w:ascii="仿宋" w:hAnsi="仿宋" w:eastAsia="仿宋"/>
                <w:bCs/>
                <w:color w:val="000000"/>
                <w:kern w:val="0"/>
                <w:sz w:val="24"/>
              </w:rPr>
              <w:br w:type="textWrapping"/>
            </w:r>
            <w:r>
              <w:rPr>
                <w:rFonts w:ascii="仿宋" w:hAnsi="仿宋" w:eastAsia="仿宋"/>
                <w:bCs/>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w:t>
            </w:r>
            <w:r>
              <w:rPr>
                <w:rFonts w:ascii="仿宋" w:hAnsi="仿宋" w:eastAsia="仿宋"/>
                <w:bCs/>
                <w:color w:val="000000"/>
                <w:kern w:val="0"/>
                <w:sz w:val="24"/>
              </w:rPr>
              <w:br w:type="textWrapping"/>
            </w:r>
            <w:r>
              <w:rPr>
                <w:rFonts w:ascii="仿宋" w:hAnsi="仿宋" w:eastAsia="仿宋"/>
                <w:bCs/>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622"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3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英语教学</w:t>
            </w:r>
          </w:p>
        </w:tc>
        <w:tc>
          <w:tcPr>
            <w:tcW w:w="304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ascii="仿宋" w:hAnsi="仿宋" w:eastAsia="仿宋"/>
                <w:bCs/>
                <w:color w:val="000000"/>
                <w:kern w:val="0"/>
                <w:sz w:val="24"/>
              </w:rPr>
            </w:pPr>
            <w:r>
              <w:rPr>
                <w:rFonts w:ascii="仿宋" w:hAnsi="仿宋" w:eastAsia="仿宋"/>
                <w:bCs/>
                <w:color w:val="000000"/>
                <w:kern w:val="0"/>
                <w:sz w:val="24"/>
              </w:rPr>
              <w:t>学科教学（英语）、英语笔译</w:t>
            </w:r>
          </w:p>
        </w:tc>
        <w:tc>
          <w:tcPr>
            <w:tcW w:w="159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restart"/>
            <w:tcBorders>
              <w:top w:val="nil"/>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硕士研究生及以上</w:t>
            </w:r>
          </w:p>
        </w:tc>
        <w:tc>
          <w:tcPr>
            <w:tcW w:w="1725" w:type="dxa"/>
            <w:vMerge w:val="restart"/>
            <w:tcBorders>
              <w:top w:val="nil"/>
              <w:left w:val="nil"/>
              <w:right w:val="single" w:color="auto" w:sz="4" w:space="0"/>
            </w:tcBorders>
            <w:tcMar>
              <w:top w:w="57" w:type="dxa"/>
              <w:bottom w:w="57" w:type="dxa"/>
            </w:tcMar>
            <w:vAlign w:val="center"/>
          </w:tcPr>
          <w:p>
            <w:pPr>
              <w:widowControl/>
              <w:snapToGrid w:val="0"/>
              <w:spacing w:line="300" w:lineRule="exact"/>
              <w:jc w:val="center"/>
              <w:rPr>
                <w:rStyle w:val="6"/>
                <w:rFonts w:hint="eastAsia" w:ascii="仿宋" w:hAnsi="仿宋" w:eastAsia="仿宋"/>
                <w:b w:val="0"/>
              </w:rPr>
            </w:pPr>
            <w:r>
              <w:rPr>
                <w:rStyle w:val="6"/>
                <w:rFonts w:hint="eastAsia" w:ascii="仿宋" w:hAnsi="仿宋" w:eastAsia="仿宋"/>
                <w:b w:val="0"/>
              </w:rPr>
              <w:t>年龄不超过</w:t>
            </w:r>
          </w:p>
          <w:p>
            <w:pPr>
              <w:widowControl/>
              <w:spacing w:line="300" w:lineRule="exact"/>
              <w:jc w:val="center"/>
              <w:rPr>
                <w:rFonts w:ascii="仿宋" w:hAnsi="仿宋" w:eastAsia="仿宋"/>
                <w:bCs/>
                <w:color w:val="000000"/>
                <w:kern w:val="0"/>
                <w:sz w:val="24"/>
              </w:rPr>
            </w:pPr>
            <w:r>
              <w:rPr>
                <w:rStyle w:val="6"/>
                <w:rFonts w:hint="eastAsia" w:ascii="仿宋" w:hAnsi="仿宋" w:eastAsia="仿宋"/>
                <w:b w:val="0"/>
              </w:rPr>
              <w:t>40</w:t>
            </w:r>
            <w:r>
              <w:rPr>
                <w:rStyle w:val="6"/>
                <w:rFonts w:ascii="仿宋" w:hAnsi="仿宋" w:eastAsia="仿宋"/>
                <w:b w:val="0"/>
              </w:rPr>
              <w:t>周岁</w:t>
            </w:r>
          </w:p>
        </w:tc>
        <w:tc>
          <w:tcPr>
            <w:tcW w:w="75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6</w:t>
            </w:r>
            <w:r>
              <w:rPr>
                <w:rFonts w:hint="eastAsia" w:ascii="仿宋" w:hAnsi="仿宋" w:eastAsia="仿宋"/>
                <w:bCs/>
                <w:color w:val="000000"/>
                <w:kern w:val="0"/>
                <w:sz w:val="24"/>
              </w:rPr>
              <w:t xml:space="preserve">  </w:t>
            </w:r>
          </w:p>
        </w:tc>
        <w:tc>
          <w:tcPr>
            <w:tcW w:w="1240" w:type="dxa"/>
            <w:vMerge w:val="restart"/>
            <w:tcBorders>
              <w:top w:val="nil"/>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编制内</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Layout w:type="fixed"/>
          <w:tblCellMar>
            <w:top w:w="0" w:type="dxa"/>
            <w:left w:w="108" w:type="dxa"/>
            <w:bottom w:w="0" w:type="dxa"/>
            <w:right w:w="108" w:type="dxa"/>
          </w:tblCellMar>
        </w:tblPrEx>
        <w:trPr>
          <w:trHeight w:val="624"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2</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语文教学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ascii="仿宋" w:hAnsi="仿宋" w:eastAsia="仿宋"/>
                <w:bCs/>
                <w:color w:val="000000"/>
                <w:kern w:val="0"/>
                <w:sz w:val="24"/>
              </w:rPr>
            </w:pPr>
            <w:r>
              <w:rPr>
                <w:rFonts w:ascii="仿宋" w:hAnsi="仿宋" w:eastAsia="仿宋"/>
                <w:bCs/>
                <w:color w:val="000000"/>
                <w:kern w:val="0"/>
                <w:sz w:val="24"/>
              </w:rPr>
              <w:t>学科教学（语文）、语言学及应用语言学</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3</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Layout w:type="fixed"/>
          <w:tblCellMar>
            <w:top w:w="0" w:type="dxa"/>
            <w:left w:w="108" w:type="dxa"/>
            <w:bottom w:w="0" w:type="dxa"/>
            <w:right w:w="108" w:type="dxa"/>
          </w:tblCellMar>
        </w:tblPrEx>
        <w:trPr>
          <w:trHeight w:val="927"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3</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数学教学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学科教学（数学）、课程与教学论（数学方向）、基础数学、计算数学、应用数学</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5</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Layout w:type="fixed"/>
          <w:tblCellMar>
            <w:top w:w="0" w:type="dxa"/>
            <w:left w:w="108" w:type="dxa"/>
            <w:bottom w:w="0" w:type="dxa"/>
            <w:right w:w="108" w:type="dxa"/>
          </w:tblCellMar>
        </w:tblPrEx>
        <w:trPr>
          <w:trHeight w:val="624"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4</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思想政治教学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学科教学</w:t>
            </w:r>
            <w:r>
              <w:rPr>
                <w:rFonts w:hint="eastAsia" w:ascii="仿宋" w:hAnsi="仿宋" w:eastAsia="仿宋"/>
                <w:bCs/>
                <w:color w:val="000000"/>
                <w:kern w:val="0"/>
                <w:sz w:val="24"/>
              </w:rPr>
              <w:t>（</w:t>
            </w:r>
            <w:r>
              <w:rPr>
                <w:rFonts w:ascii="仿宋" w:hAnsi="仿宋" w:eastAsia="仿宋"/>
                <w:bCs/>
                <w:color w:val="000000"/>
                <w:kern w:val="0"/>
                <w:sz w:val="24"/>
              </w:rPr>
              <w:t>思政</w:t>
            </w:r>
            <w:r>
              <w:rPr>
                <w:rFonts w:hint="eastAsia" w:ascii="仿宋" w:hAnsi="仿宋" w:eastAsia="仿宋"/>
                <w:bCs/>
                <w:color w:val="000000"/>
                <w:kern w:val="0"/>
                <w:sz w:val="24"/>
              </w:rPr>
              <w:t>）</w:t>
            </w:r>
            <w:r>
              <w:rPr>
                <w:rFonts w:ascii="仿宋" w:hAnsi="仿宋" w:eastAsia="仿宋"/>
                <w:bCs/>
                <w:color w:val="000000"/>
                <w:kern w:val="0"/>
                <w:sz w:val="24"/>
              </w:rPr>
              <w:t>、思想政治教育</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Layout w:type="fixed"/>
          <w:tblCellMar>
            <w:top w:w="0" w:type="dxa"/>
            <w:left w:w="108" w:type="dxa"/>
            <w:bottom w:w="0" w:type="dxa"/>
            <w:right w:w="108" w:type="dxa"/>
          </w:tblCellMar>
        </w:tblPrEx>
        <w:trPr>
          <w:trHeight w:val="412"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5</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药剂教学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药剂学、药理学</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Layout w:type="fixed"/>
          <w:tblCellMar>
            <w:top w:w="0" w:type="dxa"/>
            <w:left w:w="108" w:type="dxa"/>
            <w:bottom w:w="0" w:type="dxa"/>
            <w:right w:w="108" w:type="dxa"/>
          </w:tblCellMar>
        </w:tblPrEx>
        <w:trPr>
          <w:trHeight w:val="640"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仿宋" w:hAnsi="仿宋" w:eastAsia="仿宋"/>
                <w:bCs/>
                <w:color w:val="000000"/>
                <w:kern w:val="0"/>
                <w:sz w:val="24"/>
              </w:rPr>
            </w:pPr>
            <w:r>
              <w:rPr>
                <w:rFonts w:hint="eastAsia" w:ascii="仿宋" w:hAnsi="仿宋" w:eastAsia="仿宋"/>
                <w:bCs/>
                <w:color w:val="000000"/>
                <w:kern w:val="0"/>
                <w:sz w:val="24"/>
              </w:rPr>
              <w:t>6</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仿宋" w:hAnsi="仿宋" w:eastAsia="仿宋"/>
                <w:bCs/>
                <w:color w:val="000000"/>
                <w:kern w:val="0"/>
                <w:sz w:val="24"/>
              </w:rPr>
            </w:pPr>
            <w:r>
              <w:rPr>
                <w:rFonts w:hint="eastAsia" w:ascii="仿宋" w:hAnsi="仿宋" w:eastAsia="仿宋"/>
                <w:bCs/>
                <w:color w:val="000000"/>
                <w:kern w:val="0"/>
                <w:sz w:val="24"/>
              </w:rPr>
              <w:t>中西医</w:t>
            </w:r>
          </w:p>
          <w:p>
            <w:pPr>
              <w:widowControl/>
              <w:spacing w:line="300" w:lineRule="exact"/>
              <w:jc w:val="center"/>
              <w:rPr>
                <w:rFonts w:ascii="仿宋" w:hAnsi="仿宋" w:eastAsia="仿宋"/>
                <w:bCs/>
                <w:color w:val="000000"/>
                <w:kern w:val="0"/>
                <w:sz w:val="24"/>
              </w:rPr>
            </w:pPr>
            <w:r>
              <w:rPr>
                <w:rFonts w:hint="eastAsia" w:ascii="仿宋" w:hAnsi="仿宋" w:eastAsia="仿宋"/>
                <w:bCs/>
                <w:color w:val="000000"/>
                <w:kern w:val="0"/>
                <w:sz w:val="24"/>
              </w:rPr>
              <w:t>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hint="eastAsia" w:ascii="仿宋" w:hAnsi="仿宋" w:eastAsia="仿宋"/>
                <w:bCs/>
                <w:color w:val="000000"/>
                <w:kern w:val="0"/>
                <w:sz w:val="24"/>
              </w:rPr>
              <w:t>中西医结合基础</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p>
        </w:tc>
        <w:tc>
          <w:tcPr>
            <w:tcW w:w="1157" w:type="dxa"/>
            <w:gridSpan w:val="2"/>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仿宋" w:hAnsi="仿宋" w:eastAsia="仿宋"/>
                <w:bCs/>
                <w:color w:val="000000"/>
                <w:kern w:val="0"/>
                <w:sz w:val="24"/>
              </w:rPr>
            </w:pPr>
            <w:r>
              <w:rPr>
                <w:rFonts w:hint="eastAsia" w:ascii="仿宋" w:hAnsi="仿宋" w:eastAsia="仿宋"/>
                <w:bCs/>
                <w:color w:val="000000"/>
                <w:kern w:val="0"/>
                <w:sz w:val="24"/>
              </w:rPr>
              <w:t>1</w:t>
            </w:r>
          </w:p>
        </w:tc>
        <w:tc>
          <w:tcPr>
            <w:tcW w:w="1240"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bl>
    <w:p>
      <w:pPr>
        <w:spacing w:line="400" w:lineRule="exact"/>
        <w:jc w:val="center"/>
        <w:rPr>
          <w:rFonts w:eastAsia="方正小标宋简体"/>
          <w:bCs/>
          <w:color w:val="000000"/>
          <w:kern w:val="0"/>
          <w:sz w:val="36"/>
          <w:szCs w:val="36"/>
        </w:rPr>
      </w:pPr>
      <w:r>
        <w:rPr>
          <w:rFonts w:hint="eastAsia" w:ascii="方正小标宋简体" w:eastAsia="方正小标宋简体"/>
          <w:bCs/>
          <w:color w:val="000000"/>
          <w:kern w:val="0"/>
          <w:sz w:val="36"/>
          <w:szCs w:val="36"/>
        </w:rPr>
        <w:t>“嘉陵江英才工程”</w:t>
      </w:r>
      <w:r>
        <w:rPr>
          <w:rFonts w:eastAsia="方正小标宋简体"/>
          <w:bCs/>
          <w:color w:val="000000"/>
          <w:kern w:val="0"/>
          <w:sz w:val="36"/>
          <w:szCs w:val="36"/>
          <w:lang w:bidi="zh-CN"/>
        </w:rPr>
        <w:t>2021</w:t>
      </w:r>
      <w:r>
        <w:rPr>
          <w:rFonts w:eastAsia="方正小标宋简体"/>
          <w:bCs/>
          <w:color w:val="000000"/>
          <w:kern w:val="0"/>
          <w:sz w:val="36"/>
          <w:szCs w:val="36"/>
        </w:rPr>
        <w:t>年度引才需求信息表</w:t>
      </w:r>
    </w:p>
    <w:p>
      <w:pPr>
        <w:spacing w:line="700" w:lineRule="exact"/>
        <w:jc w:val="left"/>
        <w:rPr>
          <w:rFonts w:ascii="方正小标宋简体" w:hAnsi="方正小标宋简体" w:eastAsia="方正小标宋简体" w:cs="方正小标宋简体"/>
          <w:bCs/>
          <w:color w:val="000000"/>
          <w:kern w:val="0"/>
          <w:sz w:val="36"/>
          <w:szCs w:val="36"/>
        </w:rPr>
        <w:sectPr>
          <w:pgSz w:w="16838" w:h="11906" w:orient="landscape"/>
          <w:pgMar w:top="1474" w:right="1701" w:bottom="1588" w:left="1418" w:header="851" w:footer="794" w:gutter="0"/>
          <w:pgNumType w:fmt="numberInDash" w:chapStyle="1"/>
          <w:cols w:space="720" w:num="1"/>
          <w:docGrid w:type="lines" w:linePitch="312" w:charSpace="0"/>
        </w:sectPr>
      </w:pPr>
      <w:bookmarkStart w:id="0" w:name="_GoBack"/>
      <w:bookmarkEnd w:id="0"/>
    </w:p>
    <w:p>
      <w:pPr>
        <w:pStyle w:val="7"/>
        <w:spacing w:before="0" w:beforeAutospacing="0" w:after="0" w:afterAutospacing="0" w:line="6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pStyle w:val="7"/>
        <w:spacing w:before="0" w:beforeAutospacing="0" w:after="0" w:afterAutospacing="0" w:line="600" w:lineRule="exact"/>
        <w:jc w:val="center"/>
        <w:rPr>
          <w:rFonts w:hint="eastAsia" w:ascii="方正小标宋简体" w:hAnsi="黑体" w:eastAsia="方正小标宋简体" w:cs="黑体"/>
          <w:bCs/>
          <w:sz w:val="44"/>
          <w:szCs w:val="44"/>
        </w:rPr>
      </w:pPr>
      <w:r>
        <w:rPr>
          <w:rFonts w:hint="eastAsia" w:ascii="方正小标宋简体" w:eastAsia="方正小标宋简体"/>
          <w:bCs/>
          <w:sz w:val="44"/>
          <w:szCs w:val="44"/>
        </w:rPr>
        <w:t>四川省南充卫生学校</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2021年“嘉陵江英才工程”公开引进高层次</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人才面试考生新冠肺炎疫情防控告知暨承诺书</w:t>
      </w:r>
    </w:p>
    <w:p>
      <w:pPr>
        <w:spacing w:line="600" w:lineRule="exact"/>
        <w:jc w:val="center"/>
        <w:rPr>
          <w:rFonts w:hint="eastAsia" w:ascii="方正小标宋简体" w:eastAsia="方正小标宋简体"/>
          <w:bCs/>
          <w:sz w:val="44"/>
          <w:szCs w:val="44"/>
        </w:rPr>
      </w:pP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二、为避免影响考试，来自国内疫情中高风险地区以及与新冠病毒肺炎确诊、疑似病例或无症状感染者有密切接触史的考生，应至少在面试资格审查前15天到达南充或川内其他低风险地区，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三、考生赴考时如乘坐公共交通工具，需要全程佩戴口罩，可佩戴一次性手套，并做好手部卫生，同时注意社交距离。</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四、面试当天入场时因体温异常、咳嗽等症状，经现场医务人员确认有呼吸道异常症状的考生，不再参加此次面试。</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六、考生在领取面试通知书前须签署《四川省南充卫生学校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520" w:lineRule="exact"/>
        <w:ind w:firstLine="640" w:firstLineChars="200"/>
        <w:rPr>
          <w:rFonts w:ascii="仿宋" w:hAnsi="仿宋" w:eastAsia="仿宋"/>
          <w:bCs/>
          <w:sz w:val="32"/>
          <w:szCs w:val="32"/>
        </w:rPr>
      </w:pPr>
    </w:p>
    <w:p>
      <w:pPr>
        <w:spacing w:line="520" w:lineRule="exact"/>
        <w:ind w:firstLine="640" w:firstLineChars="200"/>
        <w:rPr>
          <w:rFonts w:hint="eastAsia" w:ascii="仿宋" w:hAnsi="仿宋" w:eastAsia="仿宋"/>
          <w:bCs/>
          <w:sz w:val="32"/>
          <w:szCs w:val="32"/>
        </w:rPr>
      </w:pPr>
    </w:p>
    <w:p>
      <w:pPr>
        <w:spacing w:line="520" w:lineRule="exact"/>
        <w:ind w:right="840" w:rightChars="400"/>
        <w:jc w:val="right"/>
        <w:rPr>
          <w:rFonts w:hint="eastAsia" w:ascii="仿宋" w:hAnsi="仿宋" w:eastAsia="仿宋"/>
          <w:bCs/>
          <w:sz w:val="32"/>
          <w:szCs w:val="32"/>
        </w:rPr>
      </w:pPr>
      <w:r>
        <w:rPr>
          <w:rFonts w:hint="eastAsia" w:ascii="仿宋" w:hAnsi="仿宋" w:eastAsia="仿宋"/>
          <w:bCs/>
          <w:sz w:val="32"/>
          <w:szCs w:val="32"/>
        </w:rPr>
        <w:t>四川省南充卫生学校</w:t>
      </w:r>
    </w:p>
    <w:p>
      <w:pPr>
        <w:spacing w:line="520" w:lineRule="exact"/>
        <w:ind w:right="945" w:rightChars="450"/>
        <w:jc w:val="right"/>
        <w:rPr>
          <w:rFonts w:hint="eastAsia" w:ascii="仿宋" w:hAnsi="仿宋" w:eastAsia="仿宋"/>
          <w:bCs/>
          <w:sz w:val="32"/>
          <w:szCs w:val="32"/>
        </w:rPr>
      </w:pPr>
      <w:r>
        <w:rPr>
          <w:rFonts w:hint="eastAsia" w:ascii="仿宋" w:hAnsi="仿宋" w:eastAsia="仿宋"/>
          <w:bCs/>
          <w:sz w:val="32"/>
          <w:szCs w:val="32"/>
        </w:rPr>
        <w:t>2021年xx月xx日</w:t>
      </w:r>
    </w:p>
    <w:p>
      <w:pPr>
        <w:spacing w:line="520" w:lineRule="exact"/>
        <w:ind w:firstLine="200"/>
        <w:rPr>
          <w:rFonts w:hint="eastAsia" w:ascii="仿宋" w:hAnsi="仿宋" w:eastAsia="仿宋"/>
          <w:bCs/>
          <w:sz w:val="32"/>
          <w:szCs w:val="32"/>
        </w:rPr>
      </w:pPr>
      <w:r>
        <w:rPr>
          <w:rFonts w:hint="eastAsia" w:ascii="仿宋" w:hAnsi="仿宋" w:eastAsia="仿宋"/>
          <w:bCs/>
          <w:sz w:val="32"/>
          <w:szCs w:val="32"/>
        </w:rPr>
        <w:t>...... ...............................................</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本人已认真阅读《四川省南充卫生学校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520" w:lineRule="exact"/>
        <w:ind w:firstLine="640" w:firstLineChars="200"/>
        <w:rPr>
          <w:rFonts w:hint="eastAsia" w:ascii="仿宋" w:hAnsi="仿宋" w:eastAsia="仿宋"/>
          <w:bCs/>
          <w:sz w:val="32"/>
          <w:szCs w:val="32"/>
        </w:rPr>
      </w:pPr>
    </w:p>
    <w:p>
      <w:pPr>
        <w:spacing w:line="520" w:lineRule="exact"/>
        <w:ind w:firstLine="640" w:firstLineChars="200"/>
        <w:rPr>
          <w:rFonts w:ascii="仿宋" w:hAnsi="仿宋" w:eastAsia="仿宋"/>
          <w:sz w:val="32"/>
          <w:szCs w:val="32"/>
        </w:rPr>
      </w:pPr>
      <w:r>
        <w:rPr>
          <w:rFonts w:hint="eastAsia" w:ascii="仿宋" w:hAnsi="仿宋" w:eastAsia="仿宋"/>
          <w:bCs/>
          <w:sz w:val="32"/>
          <w:szCs w:val="32"/>
        </w:rPr>
        <w:t xml:space="preserve">                承诺人（签字）:</w:t>
      </w:r>
    </w:p>
    <w:p>
      <w:pPr>
        <w:ind w:right="210" w:rightChars="100"/>
        <w:rPr>
          <w:rFonts w:hint="eastAsia" w:ascii="仿宋" w:hAnsi="仿宋" w:eastAsia="仿宋"/>
          <w:sz w:val="28"/>
          <w:szCs w:val="28"/>
        </w:rPr>
      </w:pPr>
    </w:p>
    <w:sectPr>
      <w:footerReference r:id="rId5" w:type="first"/>
      <w:footerReference r:id="rId3" w:type="default"/>
      <w:footerReference r:id="rId4" w:type="even"/>
      <w:pgSz w:w="11906" w:h="16838"/>
      <w:pgMar w:top="1701" w:right="1588" w:bottom="1418" w:left="1474" w:header="851" w:footer="794" w:gutter="0"/>
      <w:pgNumType w:fmt="numberInDash" w:chapStyle="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52" w:rightChars="12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p>
    <w:pPr>
      <w:pStyle w:val="3"/>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3"/>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13F2"/>
    <w:rsid w:val="3D25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font11"/>
    <w:qFormat/>
    <w:uiPriority w:val="0"/>
    <w:rPr>
      <w:rFonts w:ascii="方正仿宋简体" w:hAnsi="方正仿宋简体" w:eastAsia="方正仿宋简体" w:cs="方正仿宋简体"/>
      <w:b/>
      <w:color w:val="000000"/>
      <w:sz w:val="24"/>
      <w:szCs w:val="24"/>
      <w:u w:val="none"/>
    </w:rPr>
  </w:style>
  <w:style w:type="paragraph" w:customStyle="1" w:styleId="7">
    <w:name w:val="reader-word-layer reader-word-s2-7"/>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2021-05-21T13:37:00Z</dcterms:created>
  <dc:creator>Administrator</dc:creator>
  <cp:lastModifiedBy>Administrator</cp:lastModifiedBy>
  <dcterms:modified xsi:type="dcterms:W3CDTF">2021-05-21T13:38:22Z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