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_GBK" w:hAnsi="方正小标宋_GBK" w:eastAsia="方正小标宋_GBK" w:cs="方正小标宋_GBK"/>
          <w:i w:val="0"/>
          <w:iCs w:val="0"/>
          <w:caps w:val="0"/>
          <w:color w:val="333333"/>
          <w:spacing w:val="0"/>
          <w:kern w:val="0"/>
          <w:sz w:val="36"/>
          <w:szCs w:val="36"/>
          <w:bdr w:val="none" w:color="auto" w:sz="0" w:space="0"/>
          <w:shd w:val="clear" w:fill="FFFFFF"/>
          <w:lang w:val="en-US" w:eastAsia="zh-CN" w:bidi="ar"/>
        </w:rPr>
        <w:br w:type="textWrapping"/>
      </w:r>
      <w:r>
        <w:rPr>
          <w:rFonts w:hint="default" w:ascii="方正小标宋_GBK" w:hAnsi="方正小标宋_GBK" w:eastAsia="方正小标宋_GBK" w:cs="方正小标宋_GBK"/>
          <w:i w:val="0"/>
          <w:iCs w:val="0"/>
          <w:caps w:val="0"/>
          <w:color w:val="333333"/>
          <w:spacing w:val="0"/>
          <w:kern w:val="0"/>
          <w:sz w:val="36"/>
          <w:szCs w:val="36"/>
          <w:bdr w:val="none" w:color="auto" w:sz="0" w:space="0"/>
          <w:shd w:val="clear" w:fill="FFFFFF"/>
          <w:lang w:val="en-US" w:eastAsia="zh-CN" w:bidi="ar"/>
        </w:rPr>
        <w:t>2021年二季度非在编人员招聘情况一览表</w:t>
      </w:r>
    </w:p>
    <w:tbl>
      <w:tblPr>
        <w:tblW w:w="14887" w:type="dxa"/>
        <w:tblInd w:w="0" w:type="dxa"/>
        <w:shd w:val="clear"/>
        <w:tblLayout w:type="autofit"/>
        <w:tblCellMar>
          <w:top w:w="0" w:type="dxa"/>
          <w:left w:w="0" w:type="dxa"/>
          <w:bottom w:w="0" w:type="dxa"/>
          <w:right w:w="0" w:type="dxa"/>
        </w:tblCellMar>
      </w:tblPr>
      <w:tblGrid>
        <w:gridCol w:w="365"/>
        <w:gridCol w:w="809"/>
        <w:gridCol w:w="571"/>
        <w:gridCol w:w="1606"/>
        <w:gridCol w:w="3890"/>
        <w:gridCol w:w="502"/>
        <w:gridCol w:w="739"/>
        <w:gridCol w:w="3808"/>
        <w:gridCol w:w="674"/>
        <w:gridCol w:w="1219"/>
        <w:gridCol w:w="704"/>
      </w:tblGrid>
      <w:tr>
        <w:tblPrEx>
          <w:shd w:val="clear"/>
          <w:tblCellMar>
            <w:top w:w="0" w:type="dxa"/>
            <w:left w:w="0" w:type="dxa"/>
            <w:bottom w:w="0" w:type="dxa"/>
            <w:right w:w="0" w:type="dxa"/>
          </w:tblCellMar>
        </w:tblPrEx>
        <w:tc>
          <w:tcPr>
            <w:tcW w:w="3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序号</w:t>
            </w:r>
          </w:p>
        </w:tc>
        <w:tc>
          <w:tcPr>
            <w:tcW w:w="8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岗位名称</w:t>
            </w:r>
          </w:p>
        </w:tc>
        <w:tc>
          <w:tcPr>
            <w:tcW w:w="6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招聘名额</w:t>
            </w:r>
          </w:p>
        </w:tc>
        <w:tc>
          <w:tcPr>
            <w:tcW w:w="10095" w:type="dxa"/>
            <w:gridSpan w:val="5"/>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招聘条件</w:t>
            </w:r>
          </w:p>
        </w:tc>
        <w:tc>
          <w:tcPr>
            <w:tcW w:w="7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岗位类别</w:t>
            </w:r>
          </w:p>
        </w:tc>
        <w:tc>
          <w:tcPr>
            <w:tcW w:w="13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考核方式</w:t>
            </w:r>
          </w:p>
        </w:tc>
        <w:tc>
          <w:tcPr>
            <w:tcW w:w="78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笔试科目</w:t>
            </w:r>
          </w:p>
        </w:tc>
      </w:tr>
      <w:tr>
        <w:tblPrEx>
          <w:tblCellMar>
            <w:top w:w="0" w:type="dxa"/>
            <w:left w:w="0" w:type="dxa"/>
            <w:bottom w:w="0" w:type="dxa"/>
            <w:right w:w="0" w:type="dxa"/>
          </w:tblCellMar>
        </w:tblPrEx>
        <w:tc>
          <w:tcPr>
            <w:tcW w:w="3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学历（学位）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专业</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性别</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年龄</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其他要求</w:t>
            </w:r>
          </w:p>
        </w:tc>
        <w:tc>
          <w:tcPr>
            <w:tcW w:w="7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麻醉科（疼痛科）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本科：麻醉学、临床医学 ；研究生：麻醉学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1.取得执业医师资格证书；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2.提供与专业研究方向一致的证明；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3.须在2021年12月31日前取得住院医师规范化培训合格证书或具有主治及以上专业技术职称。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 </w:t>
            </w:r>
          </w:p>
        </w:tc>
        <w:tc>
          <w:tcPr>
            <w:tcW w:w="73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急需紧缺类专业、成熟型人才</w:t>
            </w:r>
          </w:p>
        </w:tc>
        <w:tc>
          <w:tcPr>
            <w:tcW w:w="136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专业考核*60%+面试考核*40%</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新生儿科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本科：儿科医学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研究生：儿科学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continue"/>
            <w:tcBorders>
              <w:top w:val="nil"/>
              <w:left w:val="nil"/>
              <w:bottom w:val="nil"/>
              <w:right w:val="nil"/>
            </w:tcBorders>
            <w:shd w:val="clear"/>
            <w:vAlign w:val="center"/>
          </w:tcPr>
          <w:p>
            <w:pPr>
              <w:rPr>
                <w:rFonts w:hint="eastAsia" w:ascii="宋体"/>
                <w:sz w:val="24"/>
                <w:szCs w:val="24"/>
              </w:rPr>
            </w:pP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儿科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本科：儿科医学、临床医学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研究生：儿科学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continue"/>
            <w:tcBorders>
              <w:top w:val="nil"/>
              <w:left w:val="nil"/>
              <w:bottom w:val="nil"/>
              <w:right w:val="nil"/>
            </w:tcBorders>
            <w:shd w:val="clear"/>
            <w:vAlign w:val="center"/>
          </w:tcPr>
          <w:p>
            <w:pPr>
              <w:rPr>
                <w:rFonts w:hint="eastAsia" w:ascii="宋体"/>
                <w:sz w:val="24"/>
                <w:szCs w:val="24"/>
              </w:rPr>
            </w:pP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急诊医学科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研究生：急诊医学、内科学、外科学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continue"/>
            <w:tcBorders>
              <w:top w:val="nil"/>
              <w:left w:val="nil"/>
              <w:bottom w:val="nil"/>
              <w:right w:val="nil"/>
            </w:tcBorders>
            <w:shd w:val="clear"/>
            <w:vAlign w:val="center"/>
          </w:tcPr>
          <w:p>
            <w:pPr>
              <w:rPr>
                <w:rFonts w:hint="eastAsia" w:ascii="宋体"/>
                <w:sz w:val="24"/>
                <w:szCs w:val="24"/>
              </w:rPr>
            </w:pP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感染性疾病科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研究生：内科学（传染病学方向、呼吸内科方向）</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continue"/>
            <w:tcBorders>
              <w:top w:val="nil"/>
              <w:left w:val="nil"/>
              <w:bottom w:val="nil"/>
              <w:right w:val="nil"/>
            </w:tcBorders>
            <w:shd w:val="clear"/>
            <w:vAlign w:val="center"/>
          </w:tcPr>
          <w:p>
            <w:pPr>
              <w:rPr>
                <w:rFonts w:hint="eastAsia" w:ascii="宋体"/>
                <w:sz w:val="24"/>
                <w:szCs w:val="24"/>
              </w:rPr>
            </w:pP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6</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病理科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研究生：病理学与病理生理学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1.取得执业医师资格证书；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2.有病理诊断工作经验优先。</w:t>
            </w: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7</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重症医学科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研究生：外科学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男性</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1.取得执业医师资格证书；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2.提供与专业研究方向一致的证明；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3.须在2021年12月31日前取得住院医师规范化培训合格证书或具有主治及以上专业技术职称。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73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急需紧缺类专业、成熟型人才</w:t>
            </w:r>
          </w:p>
        </w:tc>
        <w:tc>
          <w:tcPr>
            <w:tcW w:w="136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专业考核*60%+面试考核*40%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 </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8</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耳鼻咽喉科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研究生：耳鼻咽喉科学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vMerge w:val="continue"/>
            <w:tcBorders>
              <w:top w:val="nil"/>
              <w:left w:val="nil"/>
              <w:bottom w:val="nil"/>
              <w:right w:val="nil"/>
            </w:tcBorders>
            <w:shd w:val="clear"/>
            <w:vAlign w:val="center"/>
          </w:tcPr>
          <w:p>
            <w:pPr>
              <w:rPr>
                <w:rFonts w:hint="eastAsia" w:ascii="宋体"/>
                <w:sz w:val="24"/>
                <w:szCs w:val="24"/>
              </w:rPr>
            </w:pP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9</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临床岗位</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本科：临床医学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研究生：临床医学类</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1.取得执业医师资格证书；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2.须在2021年12月31日前取得住院医师规范化培训合格证书或具有主治及以上专业技术职称。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 </w:t>
            </w: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10</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肾脏内科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本科：生物医学工程、医疗器械工程、机械类;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研究生：生物医学工程、机械类</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0"/>
                <w:szCs w:val="20"/>
                <w:bdr w:val="none" w:color="auto" w:sz="0" w:space="0"/>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具有血液透析设备培训证书</w:t>
            </w: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11</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医务科</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本科：临床医学、卫生管理                    研究生：临床医学类、社会医学与卫生事业管理</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73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kern w:val="0"/>
                <w:sz w:val="18"/>
                <w:szCs w:val="18"/>
                <w:bdr w:val="none" w:color="auto" w:sz="0" w:space="0"/>
                <w:lang w:val="en-US" w:eastAsia="zh-CN" w:bidi="ar"/>
              </w:rPr>
              <w:t>行政岗位</w:t>
            </w:r>
          </w:p>
        </w:tc>
        <w:tc>
          <w:tcPr>
            <w:tcW w:w="1365"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视报名情况确定考核方式</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12</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职能科室岗位</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本科：土木工程、建筑工程管理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研究生：建筑与土木工程</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男性</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735" w:type="dxa"/>
            <w:vMerge w:val="continue"/>
            <w:tcBorders>
              <w:top w:val="nil"/>
              <w:left w:val="nil"/>
              <w:bottom w:val="nil"/>
              <w:right w:val="nil"/>
            </w:tcBorders>
            <w:shd w:val="clear"/>
            <w:vAlign w:val="center"/>
          </w:tcPr>
          <w:p>
            <w:pPr>
              <w:rPr>
                <w:rFonts w:hint="eastAsia" w:ascii="宋体"/>
                <w:sz w:val="24"/>
                <w:szCs w:val="24"/>
              </w:rPr>
            </w:pPr>
          </w:p>
        </w:tc>
        <w:tc>
          <w:tcPr>
            <w:tcW w:w="1365" w:type="dxa"/>
            <w:vMerge w:val="continue"/>
            <w:tcBorders>
              <w:top w:val="nil"/>
              <w:left w:val="nil"/>
              <w:bottom w:val="nil"/>
              <w:right w:val="nil"/>
            </w:tcBorders>
            <w:shd w:val="clear"/>
            <w:vAlign w:val="center"/>
          </w:tcPr>
          <w:p>
            <w:pPr>
              <w:rPr>
                <w:rFonts w:hint="eastAsia" w:ascii="宋体"/>
                <w:sz w:val="24"/>
                <w:szCs w:val="24"/>
              </w:rPr>
            </w:pP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仿宋_GBK" w:hAnsi="方正仿宋_GBK" w:eastAsia="方正仿宋_GBK" w:cs="方正仿宋_GBK"/>
                <w:kern w:val="0"/>
                <w:sz w:val="20"/>
                <w:szCs w:val="20"/>
                <w:bdr w:val="none" w:color="auto" w:sz="0" w:space="0"/>
                <w:lang w:val="en-US" w:eastAsia="zh-CN" w:bidi="ar"/>
              </w:rPr>
              <w:t>/</w:t>
            </w:r>
          </w:p>
        </w:tc>
      </w:tr>
      <w:tr>
        <w:tblPrEx>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13</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财务科（运营管理办公室）</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18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全日制普通高校本科及以上学历并取得相应学位</w:t>
            </w:r>
          </w:p>
        </w:tc>
        <w:tc>
          <w:tcPr>
            <w:tcW w:w="24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本科：财政学、税务、金融、会计、会计学、财务管理、财务会计、会计电算化、工业会计、企业会计、财会、会计与统计核算、审计学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研究生：财政学、税务、金融、会计学、内部控制与内部审计、审计学、财务管理、会计硕士专业</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不限</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35周岁及以下</w:t>
            </w:r>
          </w:p>
        </w:tc>
        <w:tc>
          <w:tcPr>
            <w:tcW w:w="4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行政岗位</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笔试考核*60%+面试考核*40%</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18"/>
                <w:szCs w:val="18"/>
                <w:bdr w:val="none" w:color="auto" w:sz="0" w:space="0"/>
                <w:lang w:val="en-US" w:eastAsia="zh-CN" w:bidi="ar"/>
              </w:rPr>
              <w:t>会计基础知识</w:t>
            </w:r>
          </w:p>
        </w:tc>
      </w:tr>
      <w:tr>
        <w:tblPrEx>
          <w:tblCellMar>
            <w:top w:w="0" w:type="dxa"/>
            <w:left w:w="0" w:type="dxa"/>
            <w:bottom w:w="0" w:type="dxa"/>
            <w:right w:w="0" w:type="dxa"/>
          </w:tblCellMar>
        </w:tblPrEx>
        <w:tc>
          <w:tcPr>
            <w:tcW w:w="127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kern w:val="0"/>
                <w:sz w:val="32"/>
                <w:szCs w:val="32"/>
                <w:bdr w:val="none" w:color="auto" w:sz="0" w:space="0"/>
                <w:lang w:val="en-US" w:eastAsia="zh-CN" w:bidi="ar"/>
              </w:rPr>
              <w:t>合计</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kern w:val="0"/>
                <w:sz w:val="32"/>
                <w:szCs w:val="32"/>
                <w:bdr w:val="none" w:color="auto" w:sz="0" w:space="0"/>
                <w:lang w:val="en-US" w:eastAsia="zh-CN" w:bidi="ar"/>
              </w:rPr>
              <w:t>18</w:t>
            </w:r>
          </w:p>
        </w:tc>
        <w:tc>
          <w:tcPr>
            <w:tcW w:w="12990"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kern w:val="0"/>
                <w:sz w:val="32"/>
                <w:szCs w:val="32"/>
                <w:bdr w:val="none" w:color="auto" w:sz="0" w:space="0"/>
                <w:lang w:val="en-US" w:eastAsia="zh-CN" w:bidi="ar"/>
              </w:rPr>
              <w:t>备注：年龄计算截止日期为报名前一日。报名咨询电话：谭老师（023-42827143）</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5276F"/>
    <w:rsid w:val="0FD264E6"/>
    <w:rsid w:val="118F40D5"/>
    <w:rsid w:val="37FD4845"/>
    <w:rsid w:val="3B15276F"/>
    <w:rsid w:val="4D7E258C"/>
    <w:rsid w:val="54D554DC"/>
    <w:rsid w:val="56B602EA"/>
    <w:rsid w:val="5C1B0980"/>
    <w:rsid w:val="7E2F318A"/>
    <w:rsid w:val="7E531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2021-05-18T02:24:00Z</dcterms:created>
  <dc:creator>Yan</dc:creator>
  <cp:lastModifiedBy>Yan</cp:lastModifiedBy>
  <dcterms:modified xsi:type="dcterms:W3CDTF">2021-05-18T03:21:42Z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22170EB0AE8C4A2D928F8F29792315ED</vt:lpwstr>
  </property>
  <property fmtid="{D5CDD505-2E9C-101B-9397-08002B2CF9AE}" pid="4" name="KSOSaveFontToCloudKey">
    <vt:lpwstr>476867589_btnclosed</vt:lpwstr>
  </property>
</Properties>
</file>