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val="0"/>
        <w:topLinePunct w:val="0"/>
        <w:autoSpaceDE/>
        <w:autoSpaceDN/>
        <w:bidi w:val="0"/>
        <w:adjustRightInd/>
        <w:snapToGrid/>
        <w:spacing w:line="460" w:lineRule="exact"/>
        <w:textAlignment w:val="auto"/>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rPr>
        <w:t>附件</w:t>
      </w:r>
      <w:r>
        <w:rPr>
          <w:rFonts w:hint="eastAsia" w:ascii="Times New Roman" w:hAnsi="Times New Roman" w:eastAsia="方正仿宋简体"/>
          <w:sz w:val="32"/>
          <w:szCs w:val="32"/>
          <w:lang w:val="en-US" w:eastAsia="zh-CN"/>
        </w:rPr>
        <w:t>2</w:t>
      </w:r>
      <w:bookmarkStart w:id="0" w:name="_GoBack"/>
      <w:bookmarkEnd w:id="0"/>
    </w:p>
    <w:p>
      <w:pPr>
        <w:pageBreakBefore w:val="0"/>
        <w:kinsoku/>
        <w:wordWrap/>
        <w:overflowPunct w:val="0"/>
        <w:topLinePunct w:val="0"/>
        <w:autoSpaceDE/>
        <w:autoSpaceDN/>
        <w:bidi w:val="0"/>
        <w:adjustRightInd/>
        <w:snapToGrid/>
        <w:spacing w:line="460" w:lineRule="exact"/>
        <w:textAlignment w:val="auto"/>
        <w:rPr>
          <w:sz w:val="32"/>
          <w:szCs w:val="32"/>
        </w:rPr>
      </w:pPr>
    </w:p>
    <w:p>
      <w:pPr>
        <w:pageBreakBefore w:val="0"/>
        <w:kinsoku/>
        <w:wordWrap/>
        <w:overflowPunct w:val="0"/>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“双一流”建设高校名单</w:t>
      </w:r>
    </w:p>
    <w:p>
      <w:pPr>
        <w:pageBreakBefore w:val="0"/>
        <w:kinsoku/>
        <w:wordWrap/>
        <w:topLinePunct w:val="0"/>
        <w:autoSpaceDE/>
        <w:autoSpaceDN/>
        <w:bidi w:val="0"/>
        <w:adjustRightInd/>
        <w:snapToGrid/>
        <w:spacing w:line="460" w:lineRule="exact"/>
        <w:jc w:val="center"/>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（按学校代码排序）</w:t>
      </w:r>
    </w:p>
    <w:p>
      <w:pPr>
        <w:pageBreakBefore w:val="0"/>
        <w:kinsoku/>
        <w:wordWrap/>
        <w:overflowPunct w:val="0"/>
        <w:topLinePunct w:val="0"/>
        <w:autoSpaceDE/>
        <w:autoSpaceDN/>
        <w:bidi w:val="0"/>
        <w:adjustRightInd/>
        <w:snapToGrid/>
        <w:spacing w:line="460" w:lineRule="exact"/>
        <w:ind w:firstLine="640" w:firstLineChars="200"/>
        <w:textAlignment w:val="auto"/>
        <w:rPr>
          <w:rFonts w:ascii="方正楷体简体" w:hAnsi="方正楷体简体" w:eastAsia="方正楷体简体" w:cs="方正楷体简体"/>
          <w:b/>
          <w:bCs/>
          <w:sz w:val="32"/>
          <w:szCs w:val="32"/>
        </w:rPr>
      </w:pPr>
    </w:p>
    <w:p>
      <w:pPr>
        <w:pageBreakBefore w:val="0"/>
        <w:kinsoku/>
        <w:wordWrap/>
        <w:overflowPunct w:val="0"/>
        <w:topLinePunct w:val="0"/>
        <w:autoSpaceDE/>
        <w:autoSpaceDN/>
        <w:bidi w:val="0"/>
        <w:adjustRightInd/>
        <w:snapToGrid/>
        <w:spacing w:line="4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一、一流大学建设高校</w:t>
      </w:r>
      <w:r>
        <w:rPr>
          <w:rFonts w:ascii="黑体" w:hAnsi="黑体" w:eastAsia="黑体" w:cs="黑体"/>
          <w:sz w:val="28"/>
          <w:szCs w:val="28"/>
        </w:rPr>
        <w:t>42</w:t>
      </w:r>
      <w:r>
        <w:rPr>
          <w:rFonts w:hint="eastAsia" w:ascii="黑体" w:hAnsi="黑体" w:eastAsia="黑体" w:cs="黑体"/>
          <w:sz w:val="28"/>
          <w:szCs w:val="28"/>
        </w:rPr>
        <w:t>所</w:t>
      </w:r>
    </w:p>
    <w:p>
      <w:pPr>
        <w:pageBreakBefore w:val="0"/>
        <w:kinsoku/>
        <w:wordWrap/>
        <w:overflowPunct w:val="0"/>
        <w:topLinePunct w:val="0"/>
        <w:autoSpaceDE/>
        <w:autoSpaceDN/>
        <w:bidi w:val="0"/>
        <w:adjustRightInd/>
        <w:snapToGrid/>
        <w:spacing w:line="460" w:lineRule="exact"/>
        <w:ind w:firstLine="560" w:firstLineChars="200"/>
        <w:textAlignment w:val="auto"/>
        <w:rPr>
          <w:rFonts w:ascii="楷体" w:hAnsi="楷体" w:eastAsia="楷体" w:cs="楷体"/>
          <w:kern w:val="0"/>
          <w:sz w:val="28"/>
          <w:szCs w:val="28"/>
        </w:rPr>
      </w:pPr>
      <w:r>
        <w:rPr>
          <w:rFonts w:ascii="楷体" w:hAnsi="楷体" w:eastAsia="楷体" w:cs="楷体"/>
          <w:kern w:val="0"/>
          <w:sz w:val="28"/>
          <w:szCs w:val="28"/>
        </w:rPr>
        <w:t>1. A</w:t>
      </w:r>
      <w:r>
        <w:rPr>
          <w:rFonts w:hint="eastAsia" w:ascii="楷体" w:hAnsi="楷体" w:eastAsia="楷体" w:cs="楷体"/>
          <w:kern w:val="0"/>
          <w:sz w:val="28"/>
          <w:szCs w:val="28"/>
        </w:rPr>
        <w:t>类</w:t>
      </w:r>
      <w:r>
        <w:rPr>
          <w:rFonts w:ascii="楷体" w:hAnsi="楷体" w:eastAsia="楷体" w:cs="楷体"/>
          <w:kern w:val="0"/>
          <w:sz w:val="28"/>
          <w:szCs w:val="28"/>
        </w:rPr>
        <w:t>36</w:t>
      </w:r>
      <w:r>
        <w:rPr>
          <w:rFonts w:hint="eastAsia" w:ascii="楷体" w:hAnsi="楷体" w:eastAsia="楷体" w:cs="楷体"/>
          <w:kern w:val="0"/>
          <w:sz w:val="28"/>
          <w:szCs w:val="28"/>
        </w:rPr>
        <w:t>所</w:t>
      </w:r>
    </w:p>
    <w:p>
      <w:pPr>
        <w:pageBreakBefore w:val="0"/>
        <w:kinsoku/>
        <w:wordWrap/>
        <w:overflowPunct w:val="0"/>
        <w:topLinePunct w:val="0"/>
        <w:autoSpaceDE/>
        <w:autoSpaceDN/>
        <w:bidi w:val="0"/>
        <w:adjustRightInd/>
        <w:snapToGrid/>
        <w:spacing w:line="460" w:lineRule="exact"/>
        <w:ind w:firstLine="560" w:firstLineChars="200"/>
        <w:textAlignment w:val="auto"/>
        <w:rPr>
          <w:rFonts w:ascii="Times New Roman" w:hAnsi="Times New Roman" w:eastAsia="方正仿宋简体"/>
          <w:kern w:val="0"/>
          <w:sz w:val="28"/>
          <w:szCs w:val="28"/>
        </w:rPr>
      </w:pPr>
      <w:r>
        <w:rPr>
          <w:rFonts w:hint="eastAsia" w:ascii="Times New Roman" w:hAnsi="Times New Roman" w:eastAsia="方正仿宋简体"/>
          <w:kern w:val="0"/>
          <w:sz w:val="28"/>
          <w:szCs w:val="28"/>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pageBreakBefore w:val="0"/>
        <w:kinsoku/>
        <w:wordWrap/>
        <w:overflowPunct w:val="0"/>
        <w:topLinePunct w:val="0"/>
        <w:autoSpaceDE/>
        <w:autoSpaceDN/>
        <w:bidi w:val="0"/>
        <w:adjustRightInd/>
        <w:snapToGrid/>
        <w:spacing w:line="460" w:lineRule="exact"/>
        <w:ind w:firstLine="560" w:firstLineChars="200"/>
        <w:textAlignment w:val="auto"/>
        <w:rPr>
          <w:rFonts w:ascii="楷体" w:hAnsi="楷体" w:eastAsia="楷体" w:cs="楷体"/>
          <w:kern w:val="0"/>
          <w:sz w:val="28"/>
          <w:szCs w:val="28"/>
        </w:rPr>
      </w:pPr>
      <w:r>
        <w:rPr>
          <w:rFonts w:ascii="楷体" w:hAnsi="楷体" w:eastAsia="楷体" w:cs="楷体"/>
          <w:kern w:val="0"/>
          <w:sz w:val="28"/>
          <w:szCs w:val="28"/>
        </w:rPr>
        <w:t>2. B</w:t>
      </w:r>
      <w:r>
        <w:rPr>
          <w:rFonts w:hint="eastAsia" w:ascii="楷体" w:hAnsi="楷体" w:eastAsia="楷体" w:cs="楷体"/>
          <w:kern w:val="0"/>
          <w:sz w:val="28"/>
          <w:szCs w:val="28"/>
        </w:rPr>
        <w:t>类</w:t>
      </w:r>
      <w:r>
        <w:rPr>
          <w:rFonts w:ascii="楷体" w:hAnsi="楷体" w:eastAsia="楷体" w:cs="楷体"/>
          <w:kern w:val="0"/>
          <w:sz w:val="28"/>
          <w:szCs w:val="28"/>
        </w:rPr>
        <w:t>6</w:t>
      </w:r>
      <w:r>
        <w:rPr>
          <w:rFonts w:hint="eastAsia" w:ascii="楷体" w:hAnsi="楷体" w:eastAsia="楷体" w:cs="楷体"/>
          <w:kern w:val="0"/>
          <w:sz w:val="28"/>
          <w:szCs w:val="28"/>
        </w:rPr>
        <w:t>所</w:t>
      </w:r>
    </w:p>
    <w:p>
      <w:pPr>
        <w:pageBreakBefore w:val="0"/>
        <w:kinsoku/>
        <w:wordWrap/>
        <w:overflowPunct w:val="0"/>
        <w:topLinePunct w:val="0"/>
        <w:autoSpaceDE/>
        <w:autoSpaceDN/>
        <w:bidi w:val="0"/>
        <w:adjustRightInd/>
        <w:snapToGrid/>
        <w:spacing w:line="460" w:lineRule="exact"/>
        <w:ind w:firstLine="560" w:firstLineChars="200"/>
        <w:textAlignment w:val="auto"/>
        <w:rPr>
          <w:rFonts w:ascii="Times New Roman" w:hAnsi="Times New Roman" w:eastAsia="方正仿宋简体"/>
          <w:kern w:val="0"/>
          <w:sz w:val="28"/>
          <w:szCs w:val="28"/>
        </w:rPr>
      </w:pPr>
      <w:r>
        <w:rPr>
          <w:rFonts w:hint="eastAsia" w:ascii="Times New Roman" w:hAnsi="Times New Roman" w:eastAsia="方正仿宋简体"/>
          <w:kern w:val="0"/>
          <w:sz w:val="28"/>
          <w:szCs w:val="28"/>
        </w:rPr>
        <w:t>东北大学、郑州大学、湖南大学、云南大学、西北农林科技大学、新疆大学</w:t>
      </w:r>
    </w:p>
    <w:p>
      <w:pPr>
        <w:pageBreakBefore w:val="0"/>
        <w:kinsoku/>
        <w:wordWrap/>
        <w:overflowPunct w:val="0"/>
        <w:topLinePunct w:val="0"/>
        <w:autoSpaceDE/>
        <w:autoSpaceDN/>
        <w:bidi w:val="0"/>
        <w:adjustRightInd/>
        <w:snapToGrid/>
        <w:spacing w:line="4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二、一流学科建设高校</w:t>
      </w:r>
      <w:r>
        <w:rPr>
          <w:rFonts w:ascii="黑体" w:hAnsi="黑体" w:eastAsia="黑体" w:cs="黑体"/>
          <w:sz w:val="28"/>
          <w:szCs w:val="28"/>
        </w:rPr>
        <w:t>95</w:t>
      </w:r>
      <w:r>
        <w:rPr>
          <w:rFonts w:hint="eastAsia" w:ascii="黑体" w:hAnsi="黑体" w:eastAsia="黑体" w:cs="黑体"/>
          <w:sz w:val="28"/>
          <w:szCs w:val="28"/>
        </w:rPr>
        <w:t>所</w:t>
      </w:r>
    </w:p>
    <w:p>
      <w:pPr>
        <w:pageBreakBefore w:val="0"/>
        <w:kinsoku/>
        <w:wordWrap/>
        <w:overflowPunct w:val="0"/>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pStyle w:val="2"/>
        <w:pageBreakBefore w:val="0"/>
        <w:kinsoku/>
        <w:wordWrap/>
        <w:topLinePunct w:val="0"/>
        <w:autoSpaceDE/>
        <w:autoSpaceDN/>
        <w:bidi w:val="0"/>
        <w:adjustRightInd/>
        <w:snapToGrid/>
        <w:spacing w:line="460" w:lineRule="exact"/>
        <w:textAlignment w:val="auto"/>
        <w:rPr>
          <w:rFonts w:hint="eastAsia" w:ascii="方正仿宋简体" w:hAnsi="方正仿宋简体" w:eastAsia="方正仿宋简体" w:cs="方正仿宋简体"/>
          <w:sz w:val="32"/>
          <w:szCs w:val="32"/>
        </w:rPr>
      </w:pPr>
    </w:p>
    <w:p>
      <w:pPr>
        <w:pageBreakBefore w:val="0"/>
        <w:kinsoku/>
        <w:wordWrap/>
        <w:topLinePunct w:val="0"/>
        <w:autoSpaceDE/>
        <w:autoSpaceDN/>
        <w:bidi w:val="0"/>
        <w:adjustRightInd/>
        <w:snapToGrid/>
        <w:spacing w:line="460" w:lineRule="exact"/>
        <w:textAlignment w:val="auto"/>
        <w:rPr>
          <w:rFonts w:hint="eastAsia" w:ascii="方正仿宋简体" w:hAnsi="方正仿宋简体" w:eastAsia="方正仿宋简体" w:cs="方正仿宋简体"/>
          <w:sz w:val="32"/>
          <w:szCs w:val="32"/>
        </w:rPr>
      </w:pPr>
    </w:p>
    <w:p>
      <w:pPr>
        <w:pageBreakBefore w:val="0"/>
        <w:kinsoku/>
        <w:wordWrap/>
        <w:overflowPunct w:val="0"/>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双一流”建设学科名单</w:t>
      </w:r>
    </w:p>
    <w:p>
      <w:pPr>
        <w:pageBreakBefore w:val="0"/>
        <w:kinsoku/>
        <w:wordWrap/>
        <w:overflowPunct w:val="0"/>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（按学校代码排序）</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微软雅黑" w:hAnsi="微软雅黑" w:eastAsia="微软雅黑" w:cs="微软雅黑"/>
          <w:color w:val="4B4B4B"/>
          <w:sz w:val="28"/>
          <w:szCs w:val="28"/>
          <w:shd w:val="clear" w:fill="FFFFFF"/>
        </w:rPr>
        <w:t>　</w:t>
      </w:r>
      <w:r>
        <w:rPr>
          <w:rFonts w:hint="eastAsia" w:ascii="方正仿宋简体" w:hAnsi="方正仿宋简体" w:eastAsia="方正仿宋简体" w:cs="方正仿宋简体"/>
          <w:sz w:val="28"/>
          <w:szCs w:val="28"/>
        </w:rPr>
        <w:t>　北京大学：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中国人民大学：哲学、理论经济学、应用经济学、法学、政治学、社会学、马克思主义理论、新闻传播学、中国史、统计学、工商管理、农林经济管理、公共管理、图书情报与档案管理</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清华大学：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北京交通大学：系统科学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北京工业大学：土木工程（自定）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北京航空航天大学：力学、仪器科学与技术、材料科学与工程、控制科学与工程、计算机科学与技术、航空宇航科学与技术、软件工程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北京理工大学：材料科学与工程、控制科学与工程、兵器科学与技术</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北京科技大学：科学技术史、材料科学与工程、冶金工程、矿业工程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北京化工大学：化学工程与技术（自定）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北京邮电大学：信息与通信工程、计算机科学与技术</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中国农业大学：生物学、农业工程、食品科学与工程、作物学、农业资源与环境、植物保护、畜牧学、兽医学、草学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北京林业大学：风景园林学、林学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北京协和医学院：生物学、生物医学工程、临床医学、药学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北京中医药大学：中医学、中西医结合、中药学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北京师范大学：教育学、心理学、中国语言文学、中国史、数学、地理学、系统科学、生态学、环境科学与工程、戏剧与影视学、语言学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首都师范大学：数学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北京外国语大学：外国语言文学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中国传媒大学：新闻传播学、戏剧与影视学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中央财经大学：应用经济学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对外经济贸易大学：应用经济学（自定）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外交学院：政治学（自定）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中国人民公安大学：公安学（自定）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北京体育大学：体育学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中央音乐学院：音乐与舞蹈学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中国音乐学院：音乐与舞蹈学（自定）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中央美术学院：美术学、设计学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中央戏剧学院：戏剧与影视学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中央民族大学：民族学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中国政法大学：法学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南开大学：世界史、数学、化学、统计学、材料科学与工程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天津大学：化学、材料科学与工程、化学工程与技术、管理科学与工程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天津工业大学：纺织科学与工程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天津医科大学：临床医学（自定）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天津中医药大学：中药学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华北电力大学：电气工程（自定）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河北工业大学：电气工程（自定）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太原理工大学：化学工程与技术（自定）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内蒙古大学：生物学（自定）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辽宁大学：应用经济学（自定）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大连理工大学：化学、工程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东北大学：控制科学与工程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大连海事大学：交通运输工程（自定）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吉林大学：考古学、数学、物理学、化学、材料科学与工程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延边大学：外国语言文学（自定）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东北师范大学：马克思主义理论、世界史、数学、化学、统计学、材料科学与工程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哈尔滨工业大学：力学、机械工程、材料科学与工程、控制科学与工程、计算机科学与技术、土木工程、环境科学与工程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哈尔滨工程大学：船舶与海洋工程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东北农业大学：畜牧学（自定）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东北林业大学：林业工程、林学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复旦大学：哲学、政治学、中国语言文学、中国史、数学、物理学、化学、生物学、生态学、材料科学与工程、环境科学与工程、基础医学、临床医学、中西医结合、药学、机械及航空航天和制造工程、现代语言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同济大学：建筑学、土木工程、测绘科学与技术、环境科学与工程、城乡规划学、风景园林学、艺术与设计</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海交通大学：数学、化学、生物学、机械工程、材料科学与工程、信息与通信工程、控制科学与工程、计算机科学与技术、土木工程、化学工程与技术、船舶与海洋工程、基础医学、临床医学、口腔医学、药学、电子电气工程、商业与管理</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华东理工大学：化学、材料科学与工程、化学工程与技术</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东华大学：纺织科学与工程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上海海洋大学：水产</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上海中医药大学：中医学、中药学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华东师范大学：教育学、生态学、统计学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上海外国语大学：外国语言文学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上海财经大学：统计学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上海体育学院：体育学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上海音乐学院：音乐与舞蹈学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上海大学：机械工程（自定）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南京大学：哲学、中国语言文学、外国语言文学、物理学、化学、天文学、大气科学、地质学、生物学、材料科学与工程、计算机科学与技术、化学工程与技术、矿业工程、环境科学与工程、图书情报与档案管理</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苏州大学：材料科学与工程（自定）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东南大学：材料科学与工程、电子科学与技术、信息与通信工程、控制科学与工程、计算机科学与技术、建筑学、土木工程、交通运输工程、生物医学工程、风景园林学、艺术学理论</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南京航空航天大学：力学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南京理工大学：兵器科学与技术</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中国矿业大学：安全科学与工程、矿业工程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南京邮电大学：电子科学与技术</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河海大学：水利工程、环境科学与工程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江南大学：轻工技术与工程、食品科学与工程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南京林业大学：林业工程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南京信息工程大学：大气科学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南京农业大学：作物学、农业资源与环境</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南京中医药大学：中药学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中国药科大学：中药学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南京师范大学：地理学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浙江大学：化学、生物学、生态学、机械工程、光学工程、材料科学与工程、电气工程、控制科学与工程、计算机科学与技术、农业工程、环境科学与工程、软件工程、园艺学、植物保护、基础医学、药学、管理科学与工程、农林经济管理</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中国美术学院：美术学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安徽大学：材料科学与工程（自定）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中国科学技术大学：数学、物理学、化学、天文学、地球物理学、生物学、科学技术史、材料科学与工程、计算机科学与技术、核科学与技术、安全科学与工程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合肥工业大学：管理科学与工程（自定）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厦门大学：化学、海洋科学、生物学、生态学、统计学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福州大学：化学（自定）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南昌大学：材料科学与工程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山东大学：数学、化学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中国海洋大学：海洋科学、水产</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中国石油大学（华东）：石油与天然气工程、地质资源与地质工程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郑州大学：临床医学（自定）、材料科学与工程（自定）、化学（自定）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河南大学：生物学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武汉大学：理论经济学、法学、马克思主义理论、化学、地球物理学、生物学、测绘科学与技术、矿业工程、口腔医学、图书情报与档案管理</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华中科技大学：机械工程、光学工程、材料科学与工程、动力工程及工程热物理、电气工程、计算机科学与技术、基础医学、公共卫生与预防医学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中国地质大学（武汉）：地质学、地质资源与地质工程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武汉理工大学：材料科学与工程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华中农业大学：生物学、园艺学、畜牧学、兽医学、农林经济管理</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华中师范大学：政治学、中国语言文学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中南财经政法大学：法学（自定）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湖南大学：化学、机械工程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中南大学：数学、材料科学与工程、冶金工程、矿业工程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湖南师范大学：外国语言文学（自定）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中山大学：哲学、数学、化学、生物学、生态学、材料科学与工程、电子科学与技术、基础医学、临床医学、药学、工商管理</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暨南大学：药学（自定）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华南理工大学：化学、材料科学与工程、轻工技术与工程、农学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广州中医药大学：中医学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华南师范大学：物理学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海南大学：作物学（自定）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广西大学：土木工程（自定）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四川大学：数学、化学、材料科学与工程、基础医学、口腔医学、护理学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重庆大学：机械工程（自定）、电气工程（自定）、土木工程（自定）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西南交通大学：交通运输工程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电子科技大学：电子科学与技术、信息与通信工程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西南石油大学：石油与天然气工程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成都理工大学：地质学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四川农业大学：作物学（自定）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成都中医药大学：中药学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西南大学：生物学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西南财经大学：应用经济学（自定）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贵州大学：植物保护（自定）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云南大学：民族学、生态学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西藏大学：生态学（自定）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西北大学：地质学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西安交通大学：力学、机械工程、材料科学与工程、动力工程及工程热物理、电气工程、信息与通信工程、管理科学与工程、工商管理</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西北工业大学：机械工程、材料科学与工程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西安电子科技大学：信息与通信工程、计算机科学与技术</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长安大学：交通运输工程（自定）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西北农林科技大学：农学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陕西师范大学：中国语言文学（自定）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兰州大学：化学、大气科学、生态学、草学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青海大学：生态学（自定）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宁夏大学：化学工程与技术（自定）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新疆大学：马克思主义理论（自定）、化学（自定）、计算机科学与技术（自定）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石河子大学：化学工程与技术（自定）</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中国矿业大学（北京）：安全科学与工程、矿业工程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中国石油大学（北京）：石油与天然气工程、地质资源与地质工程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中国地质大学（北京）：地质学、地质资源与地质工程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宁波大学：力学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中国科学院大学：化学、材料科学与工程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国防科技大学：信息与通信工程、计算机科学与技术、航空宇航科学与技术、软件工程、管理科学与工程</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第二军医大学：基础医学</w:t>
      </w:r>
    </w:p>
    <w:p>
      <w:pPr>
        <w:keepNext w:val="0"/>
        <w:keepLines w:val="0"/>
        <w:pageBreakBefore w:val="0"/>
        <w:widowControl w:val="0"/>
        <w:kinsoku/>
        <w:wordWrap/>
        <w:overflowPunct w:val="0"/>
        <w:topLinePunct w:val="0"/>
        <w:autoSpaceDE/>
        <w:autoSpaceDN/>
        <w:bidi w:val="0"/>
        <w:adjustRightInd/>
        <w:snapToGrid/>
        <w:spacing w:line="460" w:lineRule="exact"/>
        <w:ind w:firstLine="0" w:firstLineChars="0"/>
        <w:textAlignment w:val="auto"/>
        <w:rPr>
          <w:sz w:val="28"/>
          <w:szCs w:val="28"/>
        </w:rPr>
      </w:pPr>
      <w:r>
        <w:rPr>
          <w:rFonts w:hint="eastAsia" w:ascii="方正仿宋简体" w:hAnsi="方正仿宋简体" w:eastAsia="方正仿宋简体" w:cs="方正仿宋简体"/>
          <w:sz w:val="28"/>
          <w:szCs w:val="28"/>
        </w:rPr>
        <w:t>　　第四军医大学：临床医学（自定）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rPr>
          <w:sz w:val="28"/>
          <w:szCs w:val="28"/>
        </w:rPr>
      </w:pPr>
      <w:r>
        <w:rPr>
          <w:sz w:val="28"/>
          <w:szCs w:val="28"/>
        </w:rPr>
        <w:t>　</w:t>
      </w:r>
      <w:r>
        <w:rPr>
          <w:rStyle w:val="7"/>
          <w:rFonts w:ascii="楷体" w:hAnsi="楷体" w:eastAsia="楷体" w:cs="楷体"/>
          <w:sz w:val="28"/>
          <w:szCs w:val="28"/>
        </w:rPr>
        <w:t>注：</w:t>
      </w:r>
      <w:r>
        <w:rPr>
          <w:rFonts w:hint="eastAsia" w:ascii="楷体" w:hAnsi="楷体" w:eastAsia="楷体" w:cs="楷体"/>
          <w:sz w:val="28"/>
          <w:szCs w:val="28"/>
        </w:rPr>
        <w:t xml:space="preserve">1.不加（自定）标示的学科，是根据“双一流”建设专家委员会确定的标准而认定的学科；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rPr>
          <w:sz w:val="28"/>
          <w:szCs w:val="28"/>
        </w:rPr>
      </w:pPr>
      <w:r>
        <w:rPr>
          <w:rFonts w:hint="eastAsia" w:ascii="楷体" w:hAnsi="楷体" w:eastAsia="楷体" w:cs="楷体"/>
          <w:sz w:val="28"/>
          <w:szCs w:val="28"/>
        </w:rPr>
        <w:t xml:space="preserve">　　　2.加（自定）标示的学科，是根据“双一流”建设专家委员会建议由高校自主确定的学科；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rPr>
          <w:sz w:val="28"/>
          <w:szCs w:val="28"/>
        </w:rPr>
      </w:pPr>
      <w:r>
        <w:rPr>
          <w:rFonts w:hint="eastAsia" w:ascii="楷体" w:hAnsi="楷体" w:eastAsia="楷体" w:cs="楷体"/>
          <w:sz w:val="28"/>
          <w:szCs w:val="28"/>
        </w:rPr>
        <w:t xml:space="preserve">　　　3.高校建设方案中的自主建设学科按照专家委员会的咨询建议修改后由高校自行公布。 </w:t>
      </w: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82"/>
    <w:rsid w:val="000C5B54"/>
    <w:rsid w:val="00413379"/>
    <w:rsid w:val="00843457"/>
    <w:rsid w:val="00A35D4C"/>
    <w:rsid w:val="00B34613"/>
    <w:rsid w:val="00D12582"/>
    <w:rsid w:val="00DE5F9E"/>
    <w:rsid w:val="0F004A08"/>
    <w:rsid w:val="236E08A8"/>
    <w:rsid w:val="236E77C5"/>
    <w:rsid w:val="3626035C"/>
    <w:rsid w:val="4C416E4E"/>
    <w:rsid w:val="57360827"/>
    <w:rsid w:val="79766C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FollowedHyperlink"/>
    <w:basedOn w:val="6"/>
    <w:semiHidden/>
    <w:unhideWhenUsed/>
    <w:qFormat/>
    <w:uiPriority w:val="99"/>
    <w:rPr>
      <w:color w:val="800080"/>
      <w:u w:val="none"/>
    </w:rPr>
  </w:style>
  <w:style w:type="character" w:styleId="9">
    <w:name w:val="Hyperlink"/>
    <w:basedOn w:val="6"/>
    <w:semiHidden/>
    <w:unhideWhenUsed/>
    <w:qFormat/>
    <w:uiPriority w:val="99"/>
    <w:rPr>
      <w:color w:val="0000FF"/>
      <w:u w:val="none"/>
    </w:rPr>
  </w:style>
  <w:style w:type="character" w:customStyle="1" w:styleId="10">
    <w:name w:val="Heading 2 Char"/>
    <w:basedOn w:val="6"/>
    <w:link w:val="2"/>
    <w:semiHidden/>
    <w:qFormat/>
    <w:locked/>
    <w:uiPriority w:val="99"/>
    <w:rPr>
      <w:rFonts w:ascii="Cambria" w:hAnsi="Cambria" w:eastAsia="宋体" w:cs="Times New Roman"/>
      <w:b/>
      <w:bCs/>
      <w:sz w:val="32"/>
      <w:szCs w:val="32"/>
    </w:rPr>
  </w:style>
  <w:style w:type="character" w:customStyle="1" w:styleId="11">
    <w:name w:val="hover17"/>
    <w:basedOn w:val="6"/>
    <w:qFormat/>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144</Words>
  <Characters>825</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Administrator</cp:lastModifiedBy>
  <dcterms:modified xsi:type="dcterms:W3CDTF">2021-04-06T08:08:27Z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