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outset" w:sz="6" w:color="333333" w:space="0"/>
          <w:bottom w:val="outset" w:sz="6" w:color="333333" w:space="0"/>
          <w:left w:val="outset" w:sz="6" w:color="333333" w:space="0"/>
          <w:right w:val="outset" w:sz="6" w:color="333333" w:space="0"/>
          <w:insideH w:val="nil" w:sz="2" w:color="000000" w:space="0"/>
          <w:insideV w:val="nil" w:sz="2" w:color="000000" w:space="0"/>
        </w:tblBorders>
        <w:jc w:val="center"/>
        <w:tblStyle w:val="普通表格"/>
        <w:tblLook w:val="4A0"/>
        <w:tblW w:w="0" w:type="auto"/>
      </w:tblPr>
      <w:tblGrid>
        <w:gridCol w:w="948"/>
        <w:gridCol w:w="1119"/>
        <w:gridCol w:w="977"/>
        <w:gridCol w:w="5472"/>
      </w:tblGrid>
      <w:tr>
        <w:trPr>
          <w:trHeight w:val="75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5" w:type="dxa"/>
          </w:tcPr>
          <w:p>
            <w:pPr>
              <w:shd w:fill="FFFFFF"/>
              <w:pStyle w:val=""/>
              <w:jc w:val="center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用人</w:t>
            </w:r>
          </w:p>
          <w:p>
            <w:pPr>
              <w:shd w:fill="FFFFFF"/>
              <w:pStyle w:val=""/>
              <w:jc w:val="center"/>
              <w:spacing w:line="360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单位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155" w:type="dxa"/>
          </w:tcPr>
          <w:p>
            <w:pPr>
              <w:shd w:fill="FFFFFF"/>
              <w:pStyle w:val=""/>
              <w:jc w:val="center"/>
              <w:spacing w:line="360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005" w:type="dxa"/>
          </w:tcPr>
          <w:p>
            <w:pPr>
              <w:shd w:fill="FFFFFF"/>
              <w:pStyle w:val=""/>
              <w:jc w:val="center"/>
              <w:spacing w:line="360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数量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5730" w:type="dxa"/>
          </w:tcPr>
          <w:p>
            <w:pPr>
              <w:shd w:fill="FFFFFF"/>
              <w:pStyle w:val=""/>
              <w:jc w:val="center"/>
              <w:spacing w:line="360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岗位要求</w:t>
            </w:r>
          </w:p>
        </w:tc>
      </w:tr>
      <w:tr>
        <w:trPr>
          <w:trHeight w:val="438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975" w:type="dxa"/>
          </w:tcPr>
          <w:p>
            <w:pPr>
              <w:shd w:fill="FFFFFF"/>
              <w:pStyle w:val=""/>
              <w:jc w:val="center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琼</w:t>
            </w:r>
          </w:p>
          <w:p>
            <w:pPr>
              <w:shd w:fill="FFFFFF"/>
              <w:pStyle w:val=""/>
              <w:jc w:val="center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海</w:t>
            </w:r>
          </w:p>
          <w:p>
            <w:pPr>
              <w:shd w:fill="FFFFFF"/>
              <w:pStyle w:val=""/>
              <w:jc w:val="center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市</w:t>
            </w:r>
          </w:p>
          <w:p>
            <w:pPr>
              <w:shd w:fill="FFFFFF"/>
              <w:pStyle w:val=""/>
              <w:jc w:val="center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消</w:t>
            </w:r>
          </w:p>
          <w:p>
            <w:pPr>
              <w:shd w:fill="FFFFFF"/>
              <w:pStyle w:val=""/>
              <w:jc w:val="center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防</w:t>
            </w:r>
          </w:p>
          <w:p>
            <w:pPr>
              <w:shd w:fill="FFFFFF"/>
              <w:pStyle w:val=""/>
              <w:jc w:val="center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救</w:t>
            </w:r>
          </w:p>
          <w:p>
            <w:pPr>
              <w:shd w:fill="FFFFFF"/>
              <w:pStyle w:val=""/>
              <w:jc w:val="center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援</w:t>
            </w:r>
          </w:p>
          <w:p>
            <w:pPr>
              <w:shd w:fill="FFFFFF"/>
              <w:pStyle w:val=""/>
              <w:jc w:val="center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支</w:t>
            </w:r>
          </w:p>
          <w:p>
            <w:pPr>
              <w:shd w:fill="FFFFFF"/>
              <w:pStyle w:val=""/>
              <w:jc w:val="center"/>
              <w:spacing w:line="360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队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155" w:type="dxa"/>
          </w:tcPr>
          <w:p>
            <w:pPr>
              <w:shd w:fill="FFFFFF"/>
              <w:pStyle w:val=""/>
              <w:jc w:val="center"/>
              <w:spacing w:line="360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战斗员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005" w:type="dxa"/>
          </w:tcPr>
          <w:p>
            <w:pPr>
              <w:shd w:fill="FFFFFF"/>
              <w:pStyle w:val=""/>
              <w:jc w:val="center"/>
              <w:spacing w:line="360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5730" w:type="dxa"/>
          </w:tcPr>
          <w:p>
            <w:pPr>
              <w:shd w:fill="FFFFFF"/>
              <w:pStyle w:val=""/>
              <w:ind w:firstLine="480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具有全日制高中（或同等）以上学历，同等条件下学历高者优先；</w:t>
            </w:r>
          </w:p>
          <w:p>
            <w:pPr>
              <w:shd w:fill="FFFFFF"/>
              <w:pStyle w:val=""/>
              <w:ind w:firstLine="480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年龄为</w:t>
            </w:r>
            <w:r>
              <w:rPr>
                <w:color w:val="333333"/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至</w:t>
            </w:r>
            <w:r>
              <w:rPr>
                <w:color w:val="333333"/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周岁的男性公民，具有高中以上文化程度。条件优秀的退伍军人和退出的消防员，经专业考核，消防员岗位可适当放宽至</w:t>
            </w:r>
            <w:r>
              <w:rPr>
                <w:color w:val="333333"/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周岁；</w:t>
            </w:r>
          </w:p>
          <w:p>
            <w:pPr>
              <w:shd w:fill="FFFFFF"/>
              <w:pStyle w:val=""/>
              <w:ind w:firstLine="480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不曾被使用单位辞退或开除，自觉履行政府专职消防队员义务，为保卫琼海社会经济发展作贡献；</w:t>
            </w:r>
          </w:p>
          <w:p>
            <w:pPr>
              <w:shd w:fill="FFFFFF"/>
              <w:pStyle w:val=""/>
              <w:ind w:firstLine="480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具有水域救援能力及取得如救生员、潜水员、</w:t>
            </w:r>
            <w:r>
              <w:rPr>
                <w:color w:val="333333"/>
                <w:rFonts w:ascii="Times New Roman" w:hAnsi="Times New Roman"/>
                <w:sz w:val="24"/>
                <w:szCs w:val="24"/>
              </w:rPr>
              <w:t>C1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类以上车型有效驾驶证等证件优先；</w:t>
            </w:r>
          </w:p>
          <w:p>
            <w:pPr>
              <w:shd w:fill="FFFFFF"/>
              <w:pStyle w:val=""/>
              <w:ind w:firstLine="480"/>
              <w:spacing w:line="360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同等条件下退役的消防官兵及其他退役军人优先。</w:t>
            </w:r>
          </w:p>
        </w:tc>
      </w:tr>
      <w:tr>
        <w:trPr>
          <w:trHeight w:val="4320" w:hRule="atLeast"/>
        </w:trPr>
        <w:tc>
          <w:tcPr>
            <w:vMerge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155" w:type="dxa"/>
          </w:tcPr>
          <w:p>
            <w:pPr>
              <w:shd w:fill="FFFFFF"/>
              <w:pStyle w:val=""/>
              <w:jc w:val="center"/>
              <w:spacing w:line="360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驾驶员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005" w:type="dxa"/>
          </w:tcPr>
          <w:p>
            <w:pPr>
              <w:shd w:fill="FFFFFF"/>
              <w:pStyle w:val=""/>
              <w:jc w:val="center"/>
              <w:spacing w:line="360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5730" w:type="dxa"/>
          </w:tcPr>
          <w:p>
            <w:pPr>
              <w:shd w:fill="FFFFFF"/>
              <w:pStyle w:val=""/>
              <w:ind w:firstLine="480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具有全日制高中（或同等）以上学历，同等条件下学历高者优先；</w:t>
            </w:r>
          </w:p>
          <w:p>
            <w:pPr>
              <w:shd w:fill="FFFFFF"/>
              <w:pStyle w:val=""/>
              <w:ind w:firstLine="480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年龄为</w:t>
            </w:r>
            <w:r>
              <w:rPr>
                <w:color w:val="333333"/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至</w:t>
            </w:r>
            <w:r>
              <w:rPr>
                <w:color w:val="333333"/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周岁的男性公民，具有高中以上文化程度。条件优秀的驾驶员岗位可放宽至</w:t>
            </w:r>
            <w:r>
              <w:rPr>
                <w:color w:val="333333"/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周岁；</w:t>
            </w:r>
          </w:p>
          <w:p>
            <w:pPr>
              <w:shd w:fill="FFFFFF"/>
              <w:pStyle w:val=""/>
              <w:ind w:firstLine="480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不曾被使用单位辞退或开除，自觉履行政府专职消防队员义务，为保卫琼海社会经济发展作贡献；</w:t>
            </w:r>
          </w:p>
          <w:p>
            <w:pPr>
              <w:shd w:fill="FFFFFF"/>
              <w:pStyle w:val=""/>
              <w:ind w:firstLine="480"/>
              <w:spacing w:line="360" w:lineRule="atLeast"/>
              <w:rPr>
                <w:color w:val="333333"/>
                <w:rFonts w:ascii="微软雅黑" w:hAnsi="微软雅黑"/>
                <w:sz w:val="24"/>
                <w:szCs w:val="24"/>
              </w:rPr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应持准驾</w:t>
            </w:r>
            <w:r>
              <w:rPr>
                <w:color w:val="333333"/>
                <w:rFonts w:ascii="Times New Roman" w:hAnsi="Times New Roman"/>
                <w:sz w:val="24"/>
                <w:szCs w:val="24"/>
              </w:rPr>
              <w:t>B2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类以上车型有效驾驶证，并安全驾驶</w:t>
            </w:r>
            <w:r>
              <w:rPr>
                <w:color w:val="333333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年以上人员，持有</w:t>
            </w:r>
            <w:r>
              <w:rPr>
                <w:color w:val="333333"/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类驾驶证的优先；</w:t>
            </w:r>
          </w:p>
          <w:p>
            <w:pPr>
              <w:shd w:fill="FFFFFF"/>
              <w:pStyle w:val=""/>
              <w:ind w:firstLine="480"/>
              <w:spacing w:line="360" w:lineRule="atLeast"/>
            </w:pPr>
            <w:r>
              <w:rPr>
                <w:color w:val="333333"/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color w:val="333333"/>
                <w:rFonts w:ascii="方正仿宋_GBK" w:hAnsi="Times New Roman"/>
                <w:sz w:val="24"/>
                <w:szCs w:val="24"/>
              </w:rPr>
              <w:t>同等条件下退役的消防官兵、及其他退役军人优先。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微软雅黑"/>
  <w:font w:name="宋体"/>
  <w:font w:name="方正仿宋_GBK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paragraph" w:styleId="p">
    <w:name w:val="p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character" w:styleId="">
    <w:name w:val="要点"/>
    <w:qFormat/>
    <w:basedOn w:val="默认段落字体"/>
    <w:rPr>
      <w:b/>
    </w:rPr>
  </w:style>
  <w:style w:type="paragraph" w:styleId="western">
    <w:name w:val="western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customunionstyle">
    <w:name w:val="custom_unionstyle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