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both"/>
        <w:rPr>
          <w:rFonts w:ascii="宋体"/>
          <w:b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1：</w:t>
      </w:r>
      <w:r>
        <w:rPr>
          <w:rFonts w:hint="eastAsia" w:ascii="宋体" w:hAnsi="宋体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/>
          <w:b/>
          <w:color w:val="auto"/>
          <w:sz w:val="44"/>
          <w:szCs w:val="44"/>
        </w:rPr>
        <w:t>应聘人员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color w:val="auto"/>
          <w:sz w:val="44"/>
          <w:szCs w:val="44"/>
        </w:rPr>
        <w:t>表</w:t>
      </w:r>
    </w:p>
    <w:tbl>
      <w:tblPr>
        <w:tblW w:w="965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75"/>
        <w:gridCol w:w="212"/>
        <w:gridCol w:w="630"/>
        <w:gridCol w:w="435"/>
        <w:gridCol w:w="991"/>
        <w:gridCol w:w="319"/>
        <w:gridCol w:w="1348"/>
        <w:gridCol w:w="375"/>
        <w:gridCol w:w="1150"/>
        <w:gridCol w:w="455"/>
        <w:gridCol w:w="1502"/>
      </w:tblGrid>
      <w:tr>
        <w:trPr>
          <w:trHeight w:val="53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>
            <w:pPr>
              <w:ind w:left="-181" w:leftChars="-86" w:right="-61" w:rightChars="-29"/>
              <w:jc w:val="center"/>
              <w:rPr>
                <w:rFonts w:hint="eastAsia" w:ascii="方正仿宋_GBK" w:hAnsi="宋体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lang w:eastAsia="zh-CN"/>
              </w:rPr>
              <w:t>电子照片</w:t>
            </w:r>
          </w:p>
        </w:tc>
      </w:tr>
      <w:tr>
        <w:trPr>
          <w:trHeight w:val="53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曾用名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户籍所在地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</w:p>
        </w:tc>
      </w:tr>
      <w:tr>
        <w:trPr>
          <w:trHeight w:val="451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</w:t>
            </w:r>
          </w:p>
          <w:p>
            <w:pPr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入党（团）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时　间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</w:p>
        </w:tc>
      </w:tr>
      <w:tr>
        <w:trPr>
          <w:trHeight w:val="61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6235" w:type="dxa"/>
            <w:gridSpan w:val="9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应聘志愿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是否接受调剂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调剂志愿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vAlign w:val="center"/>
          </w:tcPr>
          <w:p>
            <w:pPr>
              <w:jc w:val="both"/>
              <w:rPr>
                <w:rFonts w:hint="eastAsia" w:ascii="方正仿宋_GBK" w:hAnsi="宋体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最高学历（</w:t>
            </w:r>
            <w:r>
              <w:rPr>
                <w:rFonts w:hint="eastAsia" w:ascii="宋体" w:hAnsi="宋体"/>
                <w:color w:val="auto"/>
              </w:rPr>
              <w:t>全日制教育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院校类型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毕业专业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入学时间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毕业时间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学籍验证码</w:t>
            </w:r>
          </w:p>
        </w:tc>
        <w:tc>
          <w:tcPr>
            <w:tcW w:w="819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3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职业资格、技能资格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或其他类型资格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专业资格名称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等级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资格类型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获取时间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发证部门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现工作单位</w:t>
            </w:r>
          </w:p>
        </w:tc>
        <w:tc>
          <w:tcPr>
            <w:tcW w:w="471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参加工作时间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626" w:hRule="atLeast"/>
        </w:trPr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所在部门</w:t>
            </w:r>
          </w:p>
        </w:tc>
        <w:tc>
          <w:tcPr>
            <w:tcW w:w="47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所在岗位</w:t>
            </w: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rPr>
          <w:trHeight w:val="425" w:hRule="exact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社会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称谓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工作单位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工作职务</w:t>
            </w:r>
          </w:p>
        </w:tc>
      </w:tr>
      <w:tr>
        <w:trPr>
          <w:trHeight w:val="394" w:hRule="exac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父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34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</w:tr>
      <w:tr>
        <w:trPr>
          <w:trHeight w:val="425" w:hRule="exac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34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</w:tr>
      <w:tr>
        <w:trPr>
          <w:trHeight w:val="425" w:hRule="exac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34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</w:tr>
      <w:tr>
        <w:trPr>
          <w:trHeight w:val="433" w:hRule="exac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348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rPr>
          <w:trHeight w:val="1391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承诺</w:t>
            </w:r>
          </w:p>
        </w:tc>
        <w:tc>
          <w:tcPr>
            <w:tcW w:w="81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本表个人信息准确无误，若有虚假，所产生的一切后果由本人承担。</w:t>
            </w: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报名人（签名）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年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月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 xml:space="preserve">  日</w:t>
            </w:r>
          </w:p>
        </w:tc>
      </w:tr>
    </w:tbl>
    <w:p>
      <w:pPr>
        <w:jc w:val="left"/>
        <w:rPr>
          <w:rFonts w:hint="eastAsia" w:ascii="宋体" w:hAnsi="宋体"/>
          <w:color w:val="auto"/>
        </w:rPr>
      </w:pPr>
    </w:p>
    <w:p>
      <w:pPr>
        <w:jc w:val="left"/>
        <w:rPr>
          <w:rFonts w:ascii="方正仿宋_GBK" w:hAnsi="宋体" w:eastAsia="方正仿宋_GBK"/>
          <w:color w:val="auto"/>
          <w:szCs w:val="21"/>
        </w:rPr>
      </w:pPr>
      <w:r>
        <w:rPr>
          <w:rFonts w:hint="eastAsia" w:ascii="宋体" w:hAnsi="宋体"/>
          <w:color w:val="auto"/>
        </w:rPr>
        <w:t>说明：</w:t>
      </w:r>
      <w:r>
        <w:rPr>
          <w:rFonts w:ascii="宋体" w:hAnsi="宋体"/>
          <w:color w:val="auto"/>
        </w:rPr>
        <w:t xml:space="preserve">1. </w:t>
      </w:r>
      <w:r>
        <w:rPr>
          <w:rFonts w:hint="eastAsia" w:ascii="宋体" w:hAnsi="宋体"/>
          <w:color w:val="auto"/>
        </w:rPr>
        <w:t>本表A4纸印制；</w:t>
      </w:r>
      <w:r>
        <w:rPr>
          <w:rFonts w:ascii="宋体" w:hAnsi="宋体"/>
          <w:color w:val="auto"/>
        </w:rPr>
        <w:t>2.</w:t>
      </w:r>
      <w:r>
        <w:rPr>
          <w:rFonts w:hint="eastAsia" w:ascii="宋体" w:hAnsi="宋体"/>
          <w:color w:val="auto"/>
        </w:rPr>
        <w:t>电子版照片为近期正面免冠彩照，大小</w:t>
      </w:r>
      <w:r>
        <w:rPr>
          <w:rFonts w:ascii="宋体" w:hAnsi="宋体"/>
          <w:color w:val="auto"/>
        </w:rPr>
        <w:t>3.4</w:t>
      </w:r>
      <w:r>
        <w:rPr>
          <w:rFonts w:hint="eastAsia" w:ascii="宋体" w:hAnsi="宋体"/>
          <w:color w:val="auto"/>
        </w:rPr>
        <w:t>×</w:t>
      </w:r>
      <w:r>
        <w:rPr>
          <w:rFonts w:ascii="宋体" w:hAnsi="宋体"/>
          <w:color w:val="auto"/>
        </w:rPr>
        <w:t>4.4cm</w:t>
      </w:r>
      <w:r>
        <w:rPr>
          <w:rFonts w:hint="eastAsia" w:ascii="宋体" w:hAnsi="宋体"/>
          <w:color w:val="auto"/>
        </w:rPr>
        <w:t>，</w:t>
      </w:r>
      <w:r>
        <w:rPr>
          <w:rFonts w:ascii="宋体" w:hAnsi="宋体"/>
          <w:color w:val="auto"/>
        </w:rPr>
        <w:t>300dpi</w:t>
      </w:r>
      <w:r>
        <w:rPr>
          <w:rFonts w:hint="eastAsia" w:ascii="宋体" w:hAnsi="宋体"/>
          <w:color w:val="auto"/>
        </w:rPr>
        <w:t>，</w:t>
      </w:r>
      <w:r>
        <w:rPr>
          <w:rFonts w:ascii="宋体" w:hAnsi="宋体"/>
          <w:color w:val="auto"/>
        </w:rPr>
        <w:t>BMP</w:t>
      </w:r>
      <w:r>
        <w:rPr>
          <w:rFonts w:hint="eastAsia" w:ascii="宋体" w:hAnsi="宋体"/>
          <w:color w:val="auto"/>
        </w:rPr>
        <w:t>格式；</w:t>
      </w:r>
      <w:r>
        <w:rPr>
          <w:rFonts w:ascii="宋体" w:hAnsi="宋体"/>
          <w:color w:val="auto"/>
        </w:rPr>
        <w:t>3.</w:t>
      </w:r>
      <w:r>
        <w:rPr>
          <w:rFonts w:hint="eastAsia" w:ascii="宋体" w:hAnsi="宋体"/>
          <w:color w:val="auto"/>
        </w:rPr>
        <w:t>起止年月的格式为××××年××月，如：</w:t>
      </w:r>
      <w:r>
        <w:rPr>
          <w:rFonts w:ascii="宋体" w:hAnsi="宋体"/>
          <w:color w:val="auto"/>
        </w:rPr>
        <w:t>1984</w:t>
      </w:r>
      <w:r>
        <w:rPr>
          <w:rFonts w:hint="eastAsia" w:ascii="宋体" w:hAnsi="宋体"/>
          <w:color w:val="auto"/>
        </w:rPr>
        <w:t>年</w:t>
      </w:r>
      <w:r>
        <w:rPr>
          <w:rFonts w:ascii="宋体" w:hAnsi="宋体"/>
          <w:color w:val="auto"/>
        </w:rPr>
        <w:t>9</w:t>
      </w:r>
      <w:r>
        <w:rPr>
          <w:rFonts w:hint="eastAsia" w:ascii="宋体" w:hAnsi="宋体"/>
          <w:color w:val="auto"/>
        </w:rPr>
        <w:t>月；</w:t>
      </w:r>
      <w:r>
        <w:rPr>
          <w:rFonts w:ascii="宋体" w:hAnsi="宋体"/>
          <w:color w:val="auto"/>
        </w:rPr>
        <w:t>4.</w:t>
      </w:r>
      <w:r>
        <w:rPr>
          <w:rFonts w:hint="eastAsia" w:ascii="宋体" w:hAnsi="宋体"/>
          <w:color w:val="auto"/>
        </w:rPr>
        <w:t>家庭成员情况填写范围为配偶、子女、父母等；</w:t>
      </w:r>
      <w:r>
        <w:rPr>
          <w:rFonts w:hint="eastAsia" w:ascii="宋体" w:hAnsi="宋体"/>
          <w:color w:val="auto"/>
          <w:lang w:val="en-US" w:eastAsia="zh-CN"/>
        </w:rPr>
        <w:t>5</w:t>
      </w:r>
      <w:r>
        <w:rPr>
          <w:rFonts w:ascii="宋体" w:hAnsi="宋体"/>
          <w:color w:val="auto"/>
        </w:rPr>
        <w:t>.</w:t>
      </w:r>
      <w:r>
        <w:rPr>
          <w:rFonts w:hint="eastAsia" w:ascii="宋体" w:hAnsi="宋体"/>
          <w:color w:val="auto"/>
          <w:lang w:eastAsia="zh-CN"/>
        </w:rPr>
        <w:t>纸质版</w:t>
      </w:r>
      <w:r>
        <w:rPr>
          <w:rFonts w:hint="eastAsia" w:ascii="宋体" w:hAnsi="宋体"/>
          <w:color w:val="auto"/>
        </w:rPr>
        <w:t>信息表必须本人签名。</w:t>
      </w:r>
    </w:p>
    <w:p>
      <w:pPr>
        <w:widowControl/>
        <w:shd w:val="clear" w:color="auto" w:fill="FFFFFF"/>
        <w:topLinePunct w:val="1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topLinePunct w:val="1"/>
        <w:spacing w:line="560" w:lineRule="exact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2：</w:t>
      </w:r>
      <w:r>
        <w:rPr>
          <w:rFonts w:hint="eastAsia" w:ascii="宋体" w:hAnsi="宋体"/>
          <w:b w:val="0"/>
          <w:bCs w:val="0"/>
          <w:color w:val="auto"/>
          <w:sz w:val="44"/>
          <w:szCs w:val="4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</w:rPr>
        <w:t>笔试考试大纲</w:t>
      </w:r>
    </w:p>
    <w:p>
      <w:pPr>
        <w:widowControl/>
        <w:shd w:val="clear" w:color="auto" w:fill="FFFFFF"/>
        <w:topLinePunct w:val="1"/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一、综合素质（占比20％）</w:t>
      </w:r>
    </w:p>
    <w:tbl>
      <w:tblPr>
        <w:tblW w:w="82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6643"/>
      </w:tblGrid>
      <w:tr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color w:val="auto"/>
                <w:spacing w:val="8"/>
              </w:rPr>
              <w:t>类别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color w:val="auto"/>
                <w:spacing w:val="8"/>
              </w:rPr>
              <w:t>主要知识结构</w:t>
            </w:r>
          </w:p>
        </w:tc>
      </w:tr>
      <w:tr>
        <w:trPr>
          <w:trHeight w:val="79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公共知识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形式与政策：中国共产党和中国政府现阶段的重大方针政策；202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年1月至今国际、国内的重大时事。</w:t>
            </w:r>
          </w:p>
        </w:tc>
      </w:tr>
      <w:tr>
        <w:trPr>
          <w:trHeight w:val="1020" w:hRule="atLeast"/>
          <w:jc w:val="center"/>
        </w:trPr>
        <w:tc>
          <w:tcPr>
            <w:tcW w:w="157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一般能力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 xml:space="preserve">言语理解与表达：具备扎实的语言功底；能够清晰、准确、规范进行语言表达；具有对语篇进行概括、推断和综合分析的能力。 </w:t>
            </w:r>
          </w:p>
        </w:tc>
      </w:tr>
      <w:tr>
        <w:trPr>
          <w:trHeight w:val="852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2．数理思维：快速理解和解决算数问题的能力；会运用归纳、演绎、类比方法进行推理。 </w:t>
            </w:r>
          </w:p>
        </w:tc>
      </w:tr>
      <w:tr>
        <w:trPr>
          <w:trHeight w:val="935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3．判断推理：根据一定的先知条件，通过自己拥有的知识、思维进行判定、推断，对事物得出自己的结论的能力。</w:t>
            </w:r>
          </w:p>
        </w:tc>
      </w:tr>
      <w:tr>
        <w:trPr>
          <w:trHeight w:val="1020" w:hRule="atLeast"/>
          <w:jc w:val="center"/>
        </w:trPr>
        <w:tc>
          <w:tcPr>
            <w:tcW w:w="1571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4．资料分析：综合考查应试者的阅读、理解、分析、计算等方面的能力；能够从文字类资料、表格类资料、图形类资料和综合类资料中，提取有效信息，发现信息关联性。</w:t>
            </w:r>
          </w:p>
        </w:tc>
      </w:tr>
    </w:tbl>
    <w:p>
      <w:pPr>
        <w:widowControl/>
        <w:shd w:val="clear" w:color="auto" w:fill="FFFFFF"/>
        <w:topLinePunct w:val="1"/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二、专业知识（占比80％）</w:t>
      </w:r>
    </w:p>
    <w:tbl>
      <w:tblPr>
        <w:tblW w:w="82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6643"/>
      </w:tblGrid>
      <w:tr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color w:val="auto"/>
                <w:spacing w:val="8"/>
              </w:rPr>
              <w:t>类别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color w:val="auto"/>
                <w:spacing w:val="8"/>
              </w:rPr>
              <w:t>主要知识结构</w:t>
            </w:r>
          </w:p>
        </w:tc>
      </w:tr>
      <w:tr>
        <w:trPr>
          <w:trHeight w:val="10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电工技术基础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电路的基本概念与基本定律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线性电阻电路的分析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正弦稳态电路的基本概念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三相电路的基本概念和计算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交直流基本电参数的测量方法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变压器的结构及工作原理</w:t>
            </w:r>
          </w:p>
        </w:tc>
      </w:tr>
      <w:tr>
        <w:trPr>
          <w:trHeight w:val="6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电力系统分析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电力系统的基本概念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电力系统稳定的基本概念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eastAsia="zh-CN"/>
              </w:rPr>
              <w:t>；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电力系统有功功率和频率调整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电力系统无功功率和电压调整</w:t>
            </w:r>
          </w:p>
        </w:tc>
      </w:tr>
      <w:tr>
        <w:trPr>
          <w:trHeight w:val="85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电力系统继电保护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电力系统继电保护的基本概念和要求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阶段式电流保护配合原理和构成</w:t>
            </w:r>
          </w:p>
        </w:tc>
      </w:tr>
      <w:tr>
        <w:trPr>
          <w:trHeight w:val="102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电气设备及主系统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电气设备的类型及原理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限制短路电流的方法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电力设备的选择</w:t>
            </w:r>
          </w:p>
        </w:tc>
      </w:tr>
      <w:tr>
        <w:trPr>
          <w:trHeight w:val="873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高电压技术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电气设备绝缘特性的测试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电力系统过电压的基本概念</w:t>
            </w:r>
          </w:p>
        </w:tc>
      </w:tr>
      <w:tr>
        <w:trPr>
          <w:trHeight w:val="903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计算机及网络应用</w:t>
            </w:r>
          </w:p>
        </w:tc>
        <w:tc>
          <w:tcPr>
            <w:tcW w:w="6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计算机信息管理与系统维护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计算机网络应用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4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数据库管理技术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lang w:val="en-US" w:eastAsia="zh-CN"/>
              </w:rPr>
              <w:t>;4.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</w:rPr>
              <w:t>信息安全与管理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</w:rPr>
  </w:style>
  <w:style w:type="character" w:customStyle="1" w:styleId="3">
    <w:name w:val="15"/>
    <w:rPr>
      <w:rFonts w:hint="default" w:ascii="Calibri" w:hAnsi="Calibri"/>
      <w:b/>
      <w:bCs/>
    </w:rPr>
  </w:style>
  <w:style w:type="paragraph" w:customStyle="1" w:styleId="4">
    <w:name w:val="Normal (Web)"/>
    <w:basedOn w:val="1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2021-05-10T15:51:07Z</dcterms:created>
  <dcterms:modified xsi:type="dcterms:W3CDTF">2021-05-10T15:51:21Z</dcterms:modified>
  <dc:title>附件1：       应聘人员报名表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