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left"/>
        <w:ind w:left="0"/>
        <w:ind w:right="0"/>
        <w:spacing w:before="0" w:beforeAutospacing="0" w:after="0" w:afterAutospacing="0" w:line="351" w:lineRule="atLeast"/>
        <w:rPr>
          <w:bCs w:val="0"/>
          <w:b w:val="0"/>
          <w:color w:val="646464"/>
          <w:rFonts w:ascii="微软雅黑" w:cs="微软雅黑" w:eastAsia="微软雅黑" w:hAnsi="微软雅黑"/>
          <w:sz w:val="18"/>
          <w:szCs w:val="18"/>
        </w:rPr>
      </w:pPr>
      <w:r>
        <w:rPr>
          <w:bCs w:val="0"/>
          <w:iCs w:val="0"/>
          <w:spacing w:val="0"/>
          <w:bdr w:val="none" w:color="auto" w:sz="0" w:space="0"/>
          <w:b w:val="0"/>
          <w:i w:val="0"/>
          <w:color w:val="646464"/>
          <w:rFonts w:ascii="微软雅黑" w:cs="微软雅黑" w:eastAsia="微软雅黑" w:hAnsi="微软雅黑" w:hint="eastAsia"/>
          <w:sz w:val="18"/>
          <w:szCs w:val="18"/>
          <w:caps w:val="0"/>
        </w:rPr>
        <w:t xml:space="preserve">测评标准如下表： </w:t>
      </w:r>
    </w:p>
    <w:tbl>
      <w:tblPr>
        <w:tblW w:w="6787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2905"/>
        <w:gridCol w:w="1953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vMerge w:val="restart"/>
            <w:tcW w:w="290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51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  <w:t>  项目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3869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51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  <w:t>标准</w:t>
            </w:r>
          </w:p>
        </w:tc>
      </w:tr>
      <w:tr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953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51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  <w:t>  男子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92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51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  <w:t>女子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290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51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  <w:t>  纵跳摸高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953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51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  <w:t>≥265厘米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92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51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  <w:t>≥230厘米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290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51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  <w:t>10米×4往返跑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953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51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  <w:t>≤13″4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92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51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  <w:t>≤14″4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290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51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  <w:t>1000米跑（女800米跑）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953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51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  <w:t>≤4′45″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92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51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18"/>
                <w:szCs w:val="18"/>
              </w:rPr>
              <w:t>≤4′40″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28165B0"/>
    <w:rsid val="128165B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2021-05-11T02:04:00Z</dcterms:created>
  <dc:creator>WPS_1609033458</dc:creator>
  <cp:lastModifiedBy>WPS_1609033458</cp:lastModifiedBy>
  <dcterms:modified xsi:type="dcterms:W3CDTF">2021-05-11T02:04:14Z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29B1003F051D4068BACFD6ABFD9DC995</vt:lpwstr>
  </property>
</Properties>
</file>