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spacing w:val="0"/>
          <w:kern w:val="0"/>
          <w:bdr w:val="none" w:color="auto" w:sz="0" w:space="0"/>
          <w:lang w:val="en-US" w:eastAsia="zh-CN" w:bidi="ar"/>
          <w:i w:val="0"/>
          <w:color w:val="333333"/>
          <w:rFonts w:ascii="黑体" w:cs="黑体" w:eastAsia="黑体" w:hAnsi="宋体"/>
          <w:sz w:val="32"/>
          <w:szCs w:val="32"/>
          <w:caps w:val="0"/>
          <w:shd w:fill="FFFFFF" w:val="clear"/>
        </w:rPr>
        <w:t xml:space="preserve">招聘职位 </w:t>
      </w:r>
    </w:p>
    <w:tbl>
      <w:tblPr>
        <w:tblW w:w="9299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  <w:jc w:val="center"/>
      </w:tblPr>
      <w:tblGrid>
        <w:gridCol w:w="866"/>
        <w:gridCol w:w="850"/>
        <w:gridCol w:w="851"/>
        <w:gridCol w:w="709"/>
        <w:gridCol w:w="798"/>
        <w:gridCol w:w="709"/>
        <w:gridCol w:w="850"/>
        <w:gridCol w:w="832"/>
        <w:gridCol w:w="709"/>
        <w:gridCol w:w="851"/>
        <w:gridCol w:w="1274"/>
      </w:tblGrid>
      <w:tr>
        <w:trPr>
          <w:jc w:val="center"/>
          <w:trHeight w:val="527" w:hRule="atLeast"/>
        </w:trP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auto" w:space="0"/>
            </w:tcBorders>
            <w:shd w:fill="auto" w:val="clear"/>
            <w:vAlign w:val="center"/>
            <w:vMerge w:val="restart"/>
            <w:tcW w:w="86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/>
                <w:sz w:val="24"/>
                <w:szCs w:val="24"/>
              </w:rPr>
              <w:t>招聘职位</w:t>
            </w:r>
          </w:p>
        </w:tc>
        <w:tc>
          <w:tcPr>
            <w:tcMar>
              <w:left w:w="108" w:type="dxa"/>
              <w:right w:w="108" w:type="dxa"/>
            </w:tcMar>
            <w:gridSpan w:val="7"/>
            <w:tcBorders>
              <w:top w:val="single" w:sz="8" w:color="000000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val="clear"/>
            <w:vAlign w:val="center"/>
            <w:tcW w:w="559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条件要求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vMerge w:val="restart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招聘人数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vMerge w:val="restart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考试方式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  <w:shd w:fill="auto" w:val="clear"/>
            <w:vAlign w:val="center"/>
            <w:vMerge w:val="restart"/>
            <w:tcW w:w="12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备注</w:t>
            </w:r>
          </w:p>
        </w:tc>
      </w:tr>
      <w:tr>
        <w:trPr>
          <w:jc w:val="center"/>
          <w:trHeight w:val="585" w:hRule="atLeast"/>
        </w:trPr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single" w:sz="8" w:color="000000" w:space="0"/>
              <w:right w:val="single" w:sz="8" w:color="auto" w:space="0"/>
            </w:tcBorders>
          </w:tcPr>
          <w:p/>
        </w:tc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专业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学历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学历类别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9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面向范围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性别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年龄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3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b/>
                <w:rFonts w:ascii="仿宋_GB2312" w:cs="仿宋_GB2312" w:eastAsia="仿宋_GB2312" w:hint="default"/>
                <w:sz w:val="24"/>
                <w:szCs w:val="24"/>
              </w:rPr>
              <w:t>其它要求</w:t>
            </w:r>
          </w:p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auto" w:space="0"/>
            </w:tcBorders>
          </w:tcPr>
          <w:p/>
        </w:tc>
        <w:tc>
          <w:tcPr>
            <w:vMerge/>
            <w:tcMar>
              <w:left w:w="108" w:type="dxa"/>
              <w:right w:w="108" w:type="dxa"/>
            </w:tcMar>
            <w:tcBorders>
              <w:top w:val="single" w:sz="8" w:color="000000" w:space="0"/>
              <w:bottom w:val="single" w:sz="8" w:color="000000" w:space="0"/>
              <w:left w:val="nil" w:sz="0" w:color="auto" w:space="0"/>
              <w:right w:val="single" w:sz="8" w:color="000000" w:space="0"/>
            </w:tcBorders>
          </w:tcPr>
          <w:p/>
        </w:tc>
      </w:tr>
      <w:tr>
        <w:trPr>
          <w:jc w:val="center"/>
          <w:trHeight w:val="203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000000" w:space="0"/>
              <w:right w:val="single" w:sz="8" w:color="auto" w:space="0"/>
            </w:tcBorders>
            <w:shd w:fill="auto" w:val="clear"/>
            <w:vAlign w:val="center"/>
            <w:tcW w:w="86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新闻宣传员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大专及以上学历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9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18"/>
                <w:szCs w:val="18"/>
              </w:rPr>
              <w:t>18周岁以上，35周岁以下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3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30"/>
                <w:szCs w:val="30"/>
              </w:rPr>
              <w:t>/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1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笔试+面试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val="clear"/>
            <w:vAlign w:val="center"/>
            <w:tcW w:w="12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同等条件下全日制文秘、新闻专业优先；</w:t>
            </w:r>
            <w:r>
              <w:rPr>
                <w:bdr w:val="none" w:color="auto" w:sz="0" w:space="0"/>
                <w:rFonts w:ascii="仿宋_GB2312" w:cs="仿宋_GB2312" w:eastAsia="仿宋_GB2312" w:hint="default"/>
                <w:sz w:val="18"/>
                <w:szCs w:val="18"/>
              </w:rPr>
              <w:t>有媒体运营、报社等工作经验者优先。</w:t>
            </w:r>
          </w:p>
        </w:tc>
      </w:tr>
      <w:tr>
        <w:trPr>
          <w:jc w:val="center"/>
          <w:trHeight w:val="2038" w:hRule="atLeast"/>
        </w:trP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single" w:sz="8" w:color="000000" w:space="0"/>
              <w:right w:val="single" w:sz="8" w:color="auto" w:space="0"/>
            </w:tcBorders>
            <w:shd w:fill="auto" w:val="clear"/>
            <w:vAlign w:val="center"/>
            <w:tcW w:w="866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速录员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大专及以上学历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98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不限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0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18"/>
                <w:szCs w:val="18"/>
              </w:rPr>
              <w:t>18周岁以上，35周岁以下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32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30"/>
                <w:szCs w:val="30"/>
              </w:rPr>
              <w:t>/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70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1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auto" w:space="0"/>
            </w:tcBorders>
            <w:shd w:fill="auto" w:val="clear"/>
            <w:vAlign w:val="center"/>
            <w:tcW w:w="851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笔试+面试</w:t>
            </w:r>
          </w:p>
        </w:tc>
        <w:tc>
          <w:tcPr>
            <w:tcMar>
              <w:left w:w="108" w:type="dxa"/>
              <w:right w:w="108" w:type="dxa"/>
            </w:tcMar>
            <w:tcBorders>
              <w:top w:val="nil" w:sz="0" w:color="auto" w:space="0"/>
              <w:bottom w:val="single" w:sz="8" w:color="auto" w:space="0"/>
              <w:left w:val="nil" w:sz="0" w:color="auto" w:space="0"/>
              <w:right w:val="single" w:sz="8" w:color="000000" w:space="0"/>
            </w:tcBorders>
            <w:shd w:fill="auto" w:val="clear"/>
            <w:vAlign w:val="center"/>
            <w:tcW w:w="1274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</w:pBdr>
              <w:pStyle w:val="2"/>
              <w:jc w:val="center"/>
              <w:ind w:left="0"/>
              <w:ind w:right="0"/>
              <w:spacing w:before="0" w:beforeAutospacing="0" w:after="0" w:afterAutospacing="0"/>
            </w:pPr>
            <w:r>
              <w:rPr>
                <w:bdr w:val="none" w:color="auto" w:sz="0" w:space="0"/>
                <w:rFonts w:ascii="仿宋_GB2312" w:cs="仿宋_GB2312" w:eastAsia="仿宋_GB2312" w:hint="default"/>
                <w:sz w:val="22"/>
                <w:szCs w:val="22"/>
              </w:rPr>
              <w:t>同等条件下全日制法学专业优先。</w:t>
            </w:r>
          </w:p>
        </w:tc>
      </w:tr>
    </w:tbl>
    <w:p>
      <w:bookmarkStart w:id="0" w:name="_GoBack"/>
      <w:bookmarkEnd w:id="0"/>
    </w:p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079A5EB4"/>
    <w:rsid val="079A5EB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lang w:val="en-US" w:eastAsia="zh-CN" w:bidi="ar-SA"/>
      <w:rFonts w:ascii="Calibri" w:hAnsiTheme="minorHAnsi" w:eastAsiaTheme="minorEastAsia" w:cstheme="minorBidi"/>
      <w:sz w:val="21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2">
    <w:name w:val="Normal (Web)"/>
    <w:basedOn w:val="1"/>
    <w:uiPriority w:val="0"/>
    <w:pPr>
      <w:jc w:val="left"/>
      <w:ind w:left="0"/>
      <w:ind w:right="0"/>
      <w:spacing w:before="0" w:beforeAutospacing="1" w:after="0" w:afterAutospacing="1"/>
    </w:pPr>
    <w:rPr>
      <w:kern w:val="0"/>
      <w:lang w:val="en-US" w:eastAsia="zh-CN" w:bidi="ar"/>
      <w:sz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2021-05-10T00:41:00Z</dcterms:created>
  <dc:creator>Administrator</dc:creator>
  <cp:lastModifiedBy>Administrator</cp:lastModifiedBy>
  <dcterms:modified xsi:type="dcterms:W3CDTF">2021-05-10T08:07:07Z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