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spacing w:line="6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31"/>
          <w:szCs w:val="31"/>
        </w:rPr>
        <w:t>附件</w:t>
      </w:r>
      <w:r>
        <w:rPr>
          <w:rFonts w:ascii="Times New Roman" w:hAnsi="Times New Roman"/>
          <w:sz w:val="31"/>
          <w:szCs w:val="31"/>
        </w:rPr>
        <w:t xml:space="preserve">4 </w:t>
      </w:r>
    </w:p>
    <w:p>
      <w:pPr>
        <w:pStyle w:val=""/>
        <w:jc w:val="center"/>
        <w:spacing w:line="600" w:lineRule="exact"/>
        <w:rPr>
          <w:rFonts w:ascii="方正小标宋简体" w:hAnsi="方正小标宋简体"/>
          <w:sz w:val="40"/>
          <w:szCs w:val="40"/>
        </w:rPr>
      </w:pPr>
      <w:r>
        <w:rPr>
          <w:rFonts w:ascii="方正小标宋简体" w:hAnsi="方正小标宋简体"/>
          <w:sz w:val="40"/>
          <w:szCs w:val="40"/>
        </w:rPr>
        <w:t>自治区事业单位面向社会公开招聘工作人员</w:t>
      </w:r>
    </w:p>
    <w:p>
      <w:pPr>
        <w:pStyle w:val=""/>
        <w:jc w:val="center"/>
        <w:spacing w:line="600" w:lineRule="exact"/>
        <w:rPr>
          <w:rFonts w:ascii="方正小标宋简体" w:hAnsi="方正小标宋简体"/>
          <w:sz w:val="40"/>
          <w:szCs w:val="40"/>
        </w:rPr>
      </w:pPr>
      <w:r>
        <w:rPr>
          <w:rFonts w:ascii="方正小标宋简体" w:hAnsi="方正小标宋简体"/>
          <w:sz w:val="40"/>
          <w:szCs w:val="40"/>
        </w:rPr>
        <w:t>体检通用标准（试行）</w:t>
      </w:r>
    </w:p>
    <w:p>
      <w:pPr>
        <w:pStyle w:val=""/>
        <w:spacing w:line="600" w:lineRule="exact"/>
        <w:rPr>
          <w:sz w:val="32"/>
          <w:szCs w:val="32"/>
        </w:rPr>
      </w:pP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 xml:space="preserve">第一条  风湿性心脏病、心肌病、冠心病、先天性心脏病、克山病等器质性心脏病，不合格。先天性心脏病不需手术者或经手术治愈者，合格。   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遇有下列情况之一的，排除心脏病理性改变，合格：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（一）心脏听诊有生理性杂音；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（二）每分钟少于</w:t>
      </w:r>
      <w:r>
        <w:rPr>
          <w:rFonts w:ascii="Times New Roman" w:hAnsi="Times New Roman"/>
          <w:sz w:val="31"/>
          <w:szCs w:val="31"/>
        </w:rPr>
        <w:t>6</w:t>
      </w:r>
      <w:r>
        <w:rPr>
          <w:rFonts w:ascii="方正仿宋_GBK" w:hAnsi="方正仿宋_GBK"/>
          <w:sz w:val="31"/>
          <w:szCs w:val="31"/>
        </w:rPr>
        <w:t>次的偶发期前收缩（有心肌炎史者从严掌握）；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（三）心率每分钟</w:t>
      </w:r>
      <w:r>
        <w:rPr>
          <w:rFonts w:ascii="Times New Roman" w:hAnsi="Times New Roman"/>
          <w:sz w:val="31"/>
          <w:szCs w:val="31"/>
        </w:rPr>
        <w:t>50</w:t>
      </w:r>
      <w:r>
        <w:rPr>
          <w:rFonts w:ascii="方正仿宋_GBK" w:hAnsi="方正仿宋_GBK"/>
          <w:sz w:val="31"/>
          <w:szCs w:val="31"/>
        </w:rPr>
        <w:t>—</w:t>
      </w:r>
      <w:r>
        <w:rPr>
          <w:rFonts w:ascii="Times New Roman" w:hAnsi="Times New Roman"/>
          <w:sz w:val="31"/>
          <w:szCs w:val="31"/>
        </w:rPr>
        <w:t>60</w:t>
      </w:r>
      <w:r>
        <w:rPr>
          <w:rFonts w:ascii="方正仿宋_GBK" w:hAnsi="方正仿宋_GBK"/>
          <w:sz w:val="31"/>
          <w:szCs w:val="31"/>
        </w:rPr>
        <w:t>次或</w:t>
      </w:r>
      <w:r>
        <w:rPr>
          <w:rFonts w:ascii="Times New Roman" w:hAnsi="Times New Roman"/>
          <w:sz w:val="31"/>
          <w:szCs w:val="31"/>
        </w:rPr>
        <w:t xml:space="preserve">100 </w:t>
      </w:r>
      <w:r>
        <w:rPr>
          <w:rFonts w:ascii="方正仿宋_GBK" w:hAnsi="方正仿宋_GBK"/>
          <w:sz w:val="31"/>
          <w:szCs w:val="31"/>
        </w:rPr>
        <w:t>—</w:t>
      </w:r>
      <w:r>
        <w:rPr>
          <w:rFonts w:ascii="Times New Roman" w:hAnsi="Times New Roman"/>
          <w:sz w:val="31"/>
          <w:szCs w:val="31"/>
        </w:rPr>
        <w:t>110</w:t>
      </w:r>
      <w:r>
        <w:rPr>
          <w:rFonts w:ascii="方正仿宋_GBK" w:hAnsi="方正仿宋_GBK"/>
          <w:sz w:val="31"/>
          <w:szCs w:val="31"/>
        </w:rPr>
        <w:t>次；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（四）心电图有异常的其他情况。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第二条  血压在下列范围内，合格：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收缩压</w:t>
      </w:r>
      <w:r>
        <w:rPr>
          <w:rFonts w:ascii="Times New Roman" w:hAnsi="Times New Roman"/>
          <w:sz w:val="31"/>
          <w:szCs w:val="31"/>
        </w:rPr>
        <w:t>90</w:t>
      </w:r>
      <w:r>
        <w:rPr>
          <w:rFonts w:ascii="方正仿宋_GBK" w:hAnsi="方正仿宋_GBK"/>
          <w:sz w:val="31"/>
          <w:szCs w:val="31"/>
        </w:rPr>
        <w:t>mmHg一</w:t>
      </w:r>
      <w:r>
        <w:rPr>
          <w:rFonts w:ascii="Times New Roman" w:hAnsi="Times New Roman"/>
          <w:sz w:val="31"/>
          <w:szCs w:val="31"/>
        </w:rPr>
        <w:t>140</w:t>
      </w:r>
      <w:r>
        <w:rPr>
          <w:rFonts w:ascii="方正仿宋_GBK" w:hAnsi="方正仿宋_GBK"/>
          <w:sz w:val="31"/>
          <w:szCs w:val="31"/>
        </w:rPr>
        <w:t>mmHg（</w:t>
      </w:r>
      <w:r>
        <w:rPr>
          <w:rFonts w:ascii="Times New Roman" w:hAnsi="Times New Roman"/>
          <w:sz w:val="31"/>
          <w:szCs w:val="31"/>
        </w:rPr>
        <w:t>12．00</w:t>
      </w:r>
      <w:r>
        <w:rPr>
          <w:rFonts w:ascii="方正仿宋_GBK" w:hAnsi="方正仿宋_GBK"/>
          <w:sz w:val="31"/>
          <w:szCs w:val="31"/>
        </w:rPr>
        <w:t>一</w:t>
      </w:r>
      <w:r>
        <w:rPr>
          <w:rFonts w:ascii="Times New Roman" w:hAnsi="Times New Roman"/>
          <w:sz w:val="31"/>
          <w:szCs w:val="31"/>
        </w:rPr>
        <w:t>18．66</w:t>
      </w:r>
      <w:r>
        <w:rPr>
          <w:rFonts w:ascii="方正仿宋_GBK" w:hAnsi="方正仿宋_GBK"/>
          <w:sz w:val="31"/>
          <w:szCs w:val="31"/>
        </w:rPr>
        <w:t>Kpa）。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舒张压</w:t>
      </w:r>
      <w:r>
        <w:rPr>
          <w:rFonts w:ascii="Times New Roman" w:hAnsi="Times New Roman"/>
          <w:sz w:val="31"/>
          <w:szCs w:val="31"/>
        </w:rPr>
        <w:t>60</w:t>
      </w:r>
      <w:r>
        <w:rPr>
          <w:rFonts w:ascii="方正仿宋_GBK" w:hAnsi="方正仿宋_GBK"/>
          <w:sz w:val="31"/>
          <w:szCs w:val="31"/>
        </w:rPr>
        <w:t>mmHg一</w:t>
      </w:r>
      <w:r>
        <w:rPr>
          <w:rFonts w:ascii="Times New Roman" w:hAnsi="Times New Roman"/>
          <w:sz w:val="31"/>
          <w:szCs w:val="31"/>
        </w:rPr>
        <w:t>90</w:t>
      </w:r>
      <w:r>
        <w:rPr>
          <w:rFonts w:ascii="方正仿宋_GBK" w:hAnsi="方正仿宋_GBK"/>
          <w:sz w:val="31"/>
          <w:szCs w:val="31"/>
        </w:rPr>
        <w:t>mmHg（</w:t>
      </w:r>
      <w:r>
        <w:rPr>
          <w:rFonts w:ascii="Times New Roman" w:hAnsi="Times New Roman"/>
          <w:sz w:val="31"/>
          <w:szCs w:val="31"/>
        </w:rPr>
        <w:t>8．00</w:t>
      </w:r>
      <w:r>
        <w:rPr>
          <w:rFonts w:ascii="方正仿宋_GBK" w:hAnsi="方正仿宋_GBK"/>
          <w:sz w:val="31"/>
          <w:szCs w:val="31"/>
        </w:rPr>
        <w:t>一</w:t>
      </w:r>
      <w:r>
        <w:rPr>
          <w:rFonts w:ascii="Times New Roman" w:hAnsi="Times New Roman"/>
          <w:sz w:val="31"/>
          <w:szCs w:val="31"/>
        </w:rPr>
        <w:t>12．00</w:t>
      </w:r>
      <w:r>
        <w:rPr>
          <w:rFonts w:ascii="方正仿宋_GBK" w:hAnsi="方正仿宋_GBK"/>
          <w:sz w:val="31"/>
          <w:szCs w:val="31"/>
        </w:rPr>
        <w:t>Kpa）。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第三条血液病，不合格。单纯性缺铁性贫血，血红蛋白男性高于</w:t>
      </w:r>
      <w:r>
        <w:rPr>
          <w:rFonts w:ascii="Times New Roman" w:hAnsi="Times New Roman"/>
          <w:sz w:val="31"/>
          <w:szCs w:val="31"/>
        </w:rPr>
        <w:t>90</w:t>
      </w:r>
      <w:r>
        <w:rPr>
          <w:rFonts w:ascii="方正仿宋_GBK" w:hAnsi="方正仿宋_GBK"/>
          <w:sz w:val="31"/>
          <w:szCs w:val="31"/>
        </w:rPr>
        <w:t>g／L、女性高于</w:t>
      </w:r>
      <w:r>
        <w:rPr>
          <w:rFonts w:ascii="Times New Roman" w:hAnsi="Times New Roman"/>
          <w:sz w:val="31"/>
          <w:szCs w:val="31"/>
        </w:rPr>
        <w:t>80</w:t>
      </w:r>
      <w:r>
        <w:rPr>
          <w:rFonts w:ascii="方正仿宋_GBK" w:hAnsi="方正仿宋_GBK"/>
          <w:sz w:val="31"/>
          <w:szCs w:val="31"/>
        </w:rPr>
        <w:t>g／L，合格。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第四条  结核病不合格。但下列情况合格：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（一）原发性肺结核、继发性肺结核、结核性胸膜炎，临床治愈后稳定</w:t>
      </w:r>
      <w:r>
        <w:rPr>
          <w:rFonts w:ascii="Times New Roman" w:hAnsi="Times New Roman"/>
          <w:sz w:val="31"/>
          <w:szCs w:val="31"/>
        </w:rPr>
        <w:t>1</w:t>
      </w:r>
      <w:r>
        <w:rPr>
          <w:rFonts w:ascii="方正仿宋_GBK" w:hAnsi="方正仿宋_GBK"/>
          <w:sz w:val="31"/>
          <w:szCs w:val="31"/>
        </w:rPr>
        <w:t>年无变化者；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（二）肺外结核病：肾结核、骨结核、腹膜结核、淋巴结核等，临床治愈后</w:t>
      </w:r>
      <w:r>
        <w:rPr>
          <w:rFonts w:ascii="Times New Roman" w:hAnsi="Times New Roman"/>
          <w:sz w:val="31"/>
          <w:szCs w:val="31"/>
        </w:rPr>
        <w:t>2</w:t>
      </w:r>
      <w:r>
        <w:rPr>
          <w:rFonts w:ascii="方正仿宋_GBK" w:hAnsi="方正仿宋_GBK"/>
          <w:sz w:val="31"/>
          <w:szCs w:val="31"/>
        </w:rPr>
        <w:t xml:space="preserve">年无复发，经专科医院检查无变化者。 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 xml:space="preserve">第五条  慢性支气管炎伴阻塞性肺气肿、支气管扩张、支气管哮喘，不合格。  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第六条  严重慢性胃、肠疾病，不合格。胃溃疡或十二指肠溃疡已愈合，</w:t>
      </w:r>
      <w:r>
        <w:rPr>
          <w:rFonts w:ascii="Times New Roman" w:hAnsi="Times New Roman"/>
          <w:sz w:val="31"/>
          <w:szCs w:val="31"/>
        </w:rPr>
        <w:t>1</w:t>
      </w:r>
      <w:r>
        <w:rPr>
          <w:rFonts w:ascii="方正仿宋_GBK" w:hAnsi="方正仿宋_GBK"/>
          <w:sz w:val="31"/>
          <w:szCs w:val="31"/>
        </w:rPr>
        <w:t>年内无出血史，</w:t>
      </w:r>
      <w:r>
        <w:rPr>
          <w:rFonts w:ascii="Times New Roman" w:hAnsi="Times New Roman"/>
          <w:sz w:val="31"/>
          <w:szCs w:val="31"/>
        </w:rPr>
        <w:t>1</w:t>
      </w:r>
      <w:r>
        <w:rPr>
          <w:rFonts w:ascii="方正仿宋_GBK" w:hAnsi="方正仿宋_GBK"/>
          <w:sz w:val="31"/>
          <w:szCs w:val="31"/>
        </w:rPr>
        <w:t xml:space="preserve">年以上无症状者，合格；胃次全切除术后无严重并发症者，合格。   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第七条  急性肝炎，不合格；慢性肝炎，如肝功正常，合格。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 xml:space="preserve">第八条  各种恶性肿瘤和肝硬化，不合格。    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 xml:space="preserve">第九条  急慢性肾炎、慢性肾盂肾炎、多囊肾、肾功能不全，不合格。   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第十条  糖尿病、尿崩症、肢端肥大症等内分泌系统疾病，不合格。甲状腺功能亢进治愈后</w:t>
      </w:r>
      <w:r>
        <w:rPr>
          <w:rFonts w:ascii="Times New Roman" w:hAnsi="Times New Roman"/>
          <w:sz w:val="31"/>
          <w:szCs w:val="31"/>
        </w:rPr>
        <w:t>1</w:t>
      </w:r>
      <w:r>
        <w:rPr>
          <w:rFonts w:ascii="方正仿宋_GBK" w:hAnsi="方正仿宋_GBK"/>
          <w:sz w:val="31"/>
          <w:szCs w:val="31"/>
        </w:rPr>
        <w:t>年无症状和体征者，合格。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第十一条  有癫痫病史、精神病史、癔病史、夜游症、严重的神经官能症（经常头痛头晕、失眠、记忆力明显下降等），精神活性物质滥用和依赖者，不合格。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 xml:space="preserve">第十二条  红斑狼疮、皮肌炎和／或多发性肌炎、硬皮病、结节性多动脉炎、类风湿性关节炎等各种弥漫性结缔组织疾病，大动脉炎，不合格。   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第十三条  晚期血吸虫病，晚期血丝虫病兼有橡皮肿或有乳糜尿，不合格。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第十四条  颅骨缺损、颅内异物存留、颅脑畸形、脑外伤后综合症，不合格。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第十五条  严重的慢性骨髓炎，不合格。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第十六条  三度单纯性甲状腺肿，不合格。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第十七条  有梗阻的胆结石或泌尿系结石，不合格。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第十八条  淋病、梅毒、软下疳、性病性淋巴肉芽肿、尖锐湿疣、生殖器疱疹，艾滋病，不合格。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第十九条  双眼矫正视力均低于</w:t>
      </w:r>
      <w:r>
        <w:rPr>
          <w:rFonts w:ascii="Times New Roman" w:hAnsi="Times New Roman"/>
          <w:sz w:val="31"/>
          <w:szCs w:val="31"/>
        </w:rPr>
        <w:t>0.8</w:t>
      </w:r>
      <w:r>
        <w:rPr>
          <w:rFonts w:ascii="方正仿宋_GBK" w:hAnsi="方正仿宋_GBK"/>
          <w:sz w:val="31"/>
          <w:szCs w:val="31"/>
        </w:rPr>
        <w:t>（标准对数视力</w:t>
      </w:r>
      <w:r>
        <w:rPr>
          <w:rFonts w:ascii="Times New Roman" w:hAnsi="Times New Roman"/>
          <w:sz w:val="31"/>
          <w:szCs w:val="31"/>
        </w:rPr>
        <w:t>4.9</w:t>
      </w:r>
      <w:r>
        <w:rPr>
          <w:rFonts w:ascii="方正仿宋_GBK" w:hAnsi="方正仿宋_GBK"/>
          <w:sz w:val="31"/>
          <w:szCs w:val="31"/>
        </w:rPr>
        <w:t>）或有明显视功能损害眼病者，不合格。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第二十条  双耳均有听力障碍，在佩戴助听器情况下，双耳在</w:t>
      </w:r>
      <w:r>
        <w:rPr>
          <w:rFonts w:ascii="Times New Roman" w:hAnsi="Times New Roman"/>
          <w:sz w:val="31"/>
          <w:szCs w:val="31"/>
        </w:rPr>
        <w:t>3</w:t>
      </w:r>
      <w:r>
        <w:rPr>
          <w:rFonts w:ascii="方正仿宋_GBK" w:hAnsi="方正仿宋_GBK"/>
          <w:sz w:val="31"/>
          <w:szCs w:val="31"/>
        </w:rPr>
        <w:t>米以内耳语仍听不见者，不合格。</w:t>
      </w:r>
    </w:p>
    <w:p>
      <w:pPr>
        <w:pStyle w:val=""/>
        <w:ind w:firstLine="620"/>
        <w:pageBreakBefore w:val="0"/>
        <w:spacing w:line="600" w:lineRule="exact"/>
        <w:rPr>
          <w:rFonts w:ascii="方正仿宋_GBK" w:hAnsi="方正仿宋_GBK"/>
          <w:sz w:val="31"/>
          <w:szCs w:val="31"/>
        </w:rPr>
      </w:pPr>
      <w:r>
        <w:rPr>
          <w:rFonts w:ascii="方正仿宋_GBK" w:hAnsi="方正仿宋_GBK"/>
          <w:sz w:val="31"/>
          <w:szCs w:val="31"/>
        </w:rPr>
        <w:t>第二十一条  未纳入体检标准，影响正常履行职责的其他严重疾病，不合格。</w:t>
      </w:r>
    </w:p>
    <w:sectPr>
      <w:headerReference r:id="rId8" w:type="default"/>
      <w:footerReference r:id="rId9" w:type="even"/>
      <w:footerReference r:id="rId10" w:type="default"/>
      <w:pgSz w:w="11906" w:h="16838"/>
      <w:pgMar w:left="1531" w:right="1531" w:top="1871" w:bottom="198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方正小标宋简体"/>
  <w:font w:name="方正仿宋_GBK"/>
  <w:font w:name="Calibri"/>
  <w:font w:name="Cambria"/>
  <w:font w:name="Symbol"/>
  <w:font w:name="Courier New"/>
  <w:font w:name="Arial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/>
  </w:p>
  <w:p>
    <w:pPr>
      <w:pStyle w:val=""/>
      <w:ind w:right="360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fldSimple w:instr=" PAGE  \* MERGEFORMAT ">
      <w:r>
        <w:rPr>
          <w:rStyle w:val=""/>
        </w:rPr>
        <w:t>3</w:t>
      </w:r>
    </w:fldSimple>
  </w:p>
  <w:p>
    <w:pPr>
      <w:pStyle w:val=""/>
      <w:ind w:right="360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character" w:styleId="Char">
    <w:name w:val="批注框文本 Char"/>
    <w:qFormat/>
    <w:rPr>
      <w:sz w:val="18"/>
      <w:szCs w:val="18"/>
    </w:rPr>
  </w:style>
  <w:style w:type="character" w:styleId="">
    <w:name w:val="页码"/>
    <w:qFormat/>
    <w:basedOn w:val="默认段落字体"/>
  </w:style>
  <w:style w:type="paragraph" w:styleId="">
    <w:name w:val="页眉"/>
    <w:qFormat/>
    <w:basedOn w:val="正文"/>
    <w:pPr>
      <w:pBdr>
        <w:bottom w:val="single" w:sz="6" w:color="000000" w:space="1"/>
      </w:pBdr>
      <w:jc w:val="center"/>
    </w:pPr>
    <w:rPr>
      <w:sz w:val="18"/>
      <w:szCs w:val="18"/>
    </w:rPr>
  </w:style>
  <w:style w:type="paragraph" w:styleId="">
    <w:name w:val="页脚"/>
    <w:qFormat/>
    <w:basedOn w:val="正文"/>
    <w:pPr>
      <w:jc w:val="left"/>
    </w:pPr>
    <w:rPr>
      <w:sz w:val="18"/>
      <w:szCs w:val="18"/>
    </w:rPr>
  </w:style>
  <w:style w:type="paragraph" w:styleId="">
    <w:name w:val="批注框文本"/>
    <w:qFormat/>
    <w:basedOn w:val="正文"/>
    <w:pPr/>
    <w:rPr>
      <w:sz w:val="18"/>
      <w:szCs w:val="18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