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bookmarkStart w:id="0" w:name="_GoBack"/>
      <w:r>
        <w:rPr>
          <w:rStyle w:val="5"/>
          <w:shd w:fill="FFFFFF" w:val="clear"/>
        </w:rPr>
        <w:t xml:space="preserve">体能测评 </w:t>
      </w:r>
    </w:p>
    <w:bookmarkEnd w:id="0"/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考生因受伤、心脑血管疾病、呼吸道疾病、怀孕等原因不宜参加体能测评的，应主动放弃，否则后果自负。体能测评结果以现场为准，不进行复测。体测各项结果均合格的考生参加面试，有一项不合格的，取消面试资格。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rStyle w:val="5"/>
          <w:shd w:fill="FFFFFF" w:val="clear"/>
        </w:rPr>
        <w:t>（一）测评项目和标准： 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1、男子组</w:t>
      </w:r>
    </w:p>
    <w:tbl>
      <w:tblPr>
        <w:tblW w:w="0" w:type="auto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2404"/>
        <w:gridCol w:w="4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项目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标 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10米×4往返跑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≤13″1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1000米跑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≤4′25″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纵跳摸高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2、女子组</w:t>
      </w:r>
    </w:p>
    <w:tbl>
      <w:tblPr>
        <w:tblW w:w="0" w:type="auto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2404"/>
        <w:gridCol w:w="4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项目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标 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10米×4往返跑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≤14″1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800米跑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≤4′20″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404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纵跳摸高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4808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</w:pPr>
            <w:r>
              <w:rPr>
                <w:bdr w:val="none" w:color="auto" w:sz="0" w:space="0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rStyle w:val="5"/>
          <w:shd w:fill="FFFFFF" w:val="clear"/>
        </w:rPr>
        <w:t>（二）测试方法：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1、10米×4往返跑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测试方法为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测评次数不超过2次，考生有1次测评达标的视为该项目合格。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注意事项：当受测者取放木块时，脚不要越过S1和S2线。</w:t>
      </w:r>
    </w:p>
    <w:tbl>
      <w:tblPr>
        <w:tblW w:w="0" w:type="auto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390"/>
        <w:gridCol w:w="2367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390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S1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415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390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415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390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415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390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415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390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415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390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jc w:val="center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← 10米 → </w:t>
            </w:r>
          </w:p>
        </w:tc>
        <w:tc>
          <w:tcPr>
            <w:tcMar>
              <w:top w:w="0" w:type="dxa"/>
              <w:left w:w="21" w:type="dxa"/>
              <w:bottom w:w="0" w:type="dxa"/>
              <w:right w:w="21" w:type="dxa"/>
            </w:tcMar>
            <w:tcBorders>
              <w:top w:val="single" w:sz="4" w:color="111111" w:space="0"/>
              <w:bottom w:val="single" w:sz="4" w:color="111111" w:space="0"/>
              <w:left w:val="single" w:sz="4" w:color="111111" w:space="0"/>
              <w:right w:val="single" w:sz="4" w:color="111111" w:space="0"/>
            </w:tcBorders>
            <w:shd w:fill="auto" w:val="clear"/>
            <w:vAlign w:val="center"/>
            <w:tcW w:w="1415" w:type="dxa"/>
          </w:tcPr>
          <w:p>
            <w:pPr>
              <w:keepNext w:val="0"/>
              <w:keepLines w:val="0"/>
              <w:widowControl/>
              <w:suppressLineNumbers w:val="0"/>
              <w:wordWrap/>
              <w:pStyle w:val="2"/>
              <w:jc w:val="center"/>
              <w:ind w:left="0"/>
              <w:ind w:right="0"/>
              <w:ind w:firstLine="0"/>
              <w:spacing w:before="63" w:beforeAutospacing="0" w:after="63" w:afterAutospacing="0" w:line="360" w:lineRule="auto"/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color w:val="000000"/>
                <w:rFonts w:ascii="宋体" w:cs="宋体" w:eastAsia="宋体" w:hAnsi="宋体" w:hint="eastAsia"/>
                <w:sz w:val="20"/>
                <w:szCs w:val="20"/>
              </w:rPr>
              <w:t>← 30厘米→ </w:t>
            </w:r>
          </w:p>
        </w:tc>
      </w:tr>
    </w:tbl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br/>
      </w:r>
      <w:r>
        <w:rPr>
          <w:shd w:fill="FFFFFF" w:val="clear"/>
        </w:rPr>
        <w:t>2、纵跳摸高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测试方法为：准备测试阶段，受测者双脚自然分开，呈站立姿势。接到指令后，受测者屈腿半蹲，双臂尽力后摆，然后向前上方快速摆臂，双腿同时发力，尽力垂直向上起跳，同时单手举起触摸固定的高度线或高度标识，触摸到高度线或者高度标识的视为合格。测试不超过三次。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注意事项：（1）起跳时，受测者双腿不能移动或有垫步动作；（2）受测者指甲不得超过指尖0.3厘米；（3）受测者徒手触摸，不得带手套等其他物品；（4）受测者统一采用赤脚（可穿袜子）起跳。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3、男子1000米跑、女子800米跑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/>
      </w:pPr>
      <w:r>
        <w:rPr>
          <w:shd w:fill="FFFFFF" w:val="clear"/>
        </w:rPr>
        <w:t>测试方法为：受测者分组测，每组不得少于2人，用站立式起跑。当听到口令或哨音后开始起跑。当受测者到达终点时停表，终点记录员负责登记每人成绩，登记成绩以分、秒为单位，不计小数。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b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59535FC"/>
    <w:rsid val="259535F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rFonts w:ascii="Arial" w:cs="Arial" w:eastAsia="微软雅黑" w:hAnsi="Arial" w:hint="eastAsia"/>
      <w:sz w:val="24"/>
    </w:rPr>
  </w:style>
  <w:style w:type="character" w:styleId="5">
    <w:name w:val="Strong"/>
    <w:qFormat/>
    <w:basedOn w:val="4"/>
    <w:uiPriority w:val="0"/>
    <w:rPr>
      <w:bCs/>
      <w:b/>
    </w:rPr>
  </w:style>
  <w:style w:type="character" w:styleId="6">
    <w:name w:val="FollowedHyperlink"/>
    <w:basedOn w:val="4"/>
    <w:uiPriority w:val="0"/>
    <w:rPr>
      <w:u w:val="none"/>
      <w:color w:val="800080"/>
      <w:rFonts w:ascii="Arial" w:cs="Arial" w:eastAsia="微软雅黑" w:hAnsi="Arial" w:hint="default"/>
    </w:rPr>
  </w:style>
  <w:style w:type="character" w:styleId="7">
    <w:name w:val="Emphasis"/>
    <w:qFormat/>
    <w:basedOn w:val="4"/>
    <w:uiPriority w:val="0"/>
    <w:rPr>
      <w:bCs/>
      <w:b/>
      <w:color w:val="CC0000"/>
    </w:rPr>
  </w:style>
  <w:style w:type="character" w:styleId="8">
    <w:name w:val="Hyperlink"/>
    <w:basedOn w:val="4"/>
    <w:uiPriority w:val="0"/>
    <w:rPr>
      <w:u w:val="none"/>
      <w:color w:val="0000FF"/>
      <w:rFonts w:ascii="Arial" w:cs="Arial" w:eastAsia="微软雅黑" w:hAnsi="Arial" w:hint="default"/>
    </w:rPr>
  </w:style>
  <w:style w:type="character" w:styleId="9">
    <w:name w:val="disabled"/>
    <w:basedOn w:val="4"/>
    <w:uiPriority w:val="0"/>
    <w:rPr>
      <w:bdr w:val="single" w:color="3D6BB7" w:sz="4" w:space="0"/>
      <w:color w:val="FFFFFF"/>
      <w:shd w:fill="3D6BB7" w:val="clear"/>
    </w:rPr>
  </w:style>
  <w:style w:type="character" w:styleId="10">
    <w:name w:val="bgmenuhove2"/>
    <w:basedOn w:val="4"/>
    <w:uiPriority w:val="0"/>
    <w:rPr>
      <w:color w:val="EDDC0B"/>
    </w:rPr>
  </w:style>
  <w:style w:type="character" w:styleId="11">
    <w:name w:val="current"/>
    <w:basedOn w:val="4"/>
    <w:uiPriority w:val="0"/>
    <w:rPr>
      <w:bdr w:val="single" w:color="F2F2F2" w:sz="4" w:space="0"/>
      <w:color w:val="363636"/>
    </w:rPr>
  </w:style>
  <w:style w:type="character" w:styleId="12">
    <w:name w:val="end"/>
    <w:basedOn w:val="4"/>
    <w:uiPriority w:val="0"/>
    <w:rPr>
      <w:vanish/>
    </w:rPr>
  </w:style>
  <w:style w:type="character" w:styleId="13">
    <w:name w:val="home1"/>
    <w:basedOn w:val="4"/>
    <w:uiPriority w:val="0"/>
    <w:rPr>
      <w:vanish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2021-04-25T09:12:00Z</dcterms:created>
  <dc:creator>WPS_1609033458</dc:creator>
  <cp:lastModifiedBy>WPS_1609033458</cp:lastModifiedBy>
  <dcterms:modified xsi:type="dcterms:W3CDTF">2021-04-25T09:13:12Z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FCDA221469FC48C58AC725EE0BC6BE1C</vt:lpwstr>
  </property>
</Properties>
</file>