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p>
    <w:p>
      <w:pPr>
        <w:ind w:firstLine="1958" w:firstLineChars="445"/>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（模板，供参考）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w:t>
      </w:r>
      <w:bookmarkStart w:id="0" w:name="_GoBack"/>
      <w:bookmarkEnd w:id="0"/>
      <w:r>
        <w:rPr>
          <w:rFonts w:ascii="Times New Roman" w:hAnsi="Times New Roman" w:eastAsia="仿宋_GB2312" w:cs="Times New Roman"/>
          <w:sz w:val="32"/>
          <w:szCs w:val="32"/>
        </w:rPr>
        <w:t>关系。如因本人未依法处理原人事或劳动关系原因导致考察不能按时完成的后果，由本人承担。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月 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16DE2050"/>
    <w:rsid w:val="3ED16270"/>
    <w:rsid w:val="4E72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39</TotalTime>
  <ScaleCrop>false</ScaleCrop>
  <LinksUpToDate>false</LinksUpToDate>
  <CharactersWithSpaces>615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梁振瀚</cp:lastModifiedBy>
  <dcterms:modified xsi:type="dcterms:W3CDTF">2021-04-26T03:13:11Z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