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厦门医学院附属第二医院、附属口腔医院</w:t>
      </w:r>
      <w:r>
        <w:rPr>
          <w:rFonts w:hint="eastAsia" w:ascii="宋体" w:hAnsi="宋体" w:cs="宋体"/>
          <w:b/>
          <w:color w:val="000000" w:themeColor="text1"/>
          <w:w w:val="85"/>
          <w:kern w:val="0"/>
          <w:sz w:val="44"/>
          <w:szCs w:val="44"/>
          <w14:textFill>
            <w14:solidFill>
              <w14:schemeClr w14:val="tx1"/>
            </w14:solidFill>
          </w14:textFill>
        </w:rPr>
        <w:t>补充编内工作人员考试报考指南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2021</w:t>
      </w:r>
      <w:r>
        <w:rPr>
          <w:rFonts w:hint="eastAsia" w:ascii="宋体" w:hAnsi="宋体" w:cs="宋体"/>
          <w:b/>
          <w:color w:val="000000" w:themeColor="text1"/>
          <w:w w:val="85"/>
          <w:kern w:val="0"/>
          <w:sz w:val="44"/>
          <w:szCs w:val="44"/>
          <w14:textFill>
            <w14:solidFill>
              <w14:schemeClr w14:val="tx1"/>
            </w14:solidFill>
          </w14:textFill>
        </w:rPr>
        <w:t>年</w:t>
      </w:r>
      <w:r>
        <w:rPr>
          <w:rFonts w:ascii="宋体" w:hAnsi="宋体" w:cs="宋体"/>
          <w:b/>
          <w:color w:val="000000" w:themeColor="text1"/>
          <w:w w:val="85"/>
          <w:kern w:val="0"/>
          <w:sz w:val="44"/>
          <w:szCs w:val="44"/>
          <w14:textFill>
            <w14:solidFill>
              <w14:schemeClr w14:val="tx1"/>
            </w14:solidFill>
          </w14:textFill>
        </w:rPr>
        <w:t>4</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TOC \o "1-2" \h \u </w:instrText>
      </w:r>
      <w:r>
        <w:rPr>
          <w:rFonts w:ascii="黑体" w:hAnsi="黑体" w:eastAsia="黑体" w:cs="黑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"_Toc10459"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一、基本条件</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_Toc10459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"_Toc25850"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二、不得报考或取消报考（聘用）资格的情形</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_Toc25850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三、选报岗位须知</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_Toc28345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"_Toc3161"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（一）照片要求</w:t>
      </w:r>
      <w:r>
        <w:rPr>
          <w:rFonts w:ascii="楷体" w:hAnsi="楷体" w:eastAsia="楷体" w:cs="楷体"/>
          <w:color w:val="000000" w:themeColor="text1"/>
          <w:sz w:val="28"/>
          <w:szCs w:val="28"/>
          <w14:textFill>
            <w14:solidFill>
              <w14:schemeClr w14:val="tx1"/>
            </w14:solidFill>
          </w14:textFill>
        </w:rPr>
        <w:tab/>
      </w:r>
      <w:r>
        <w:rPr>
          <w:rFonts w:ascii="楷体" w:hAnsi="楷体" w:eastAsia="楷体" w:cs="楷体"/>
          <w:color w:val="000000" w:themeColor="text1"/>
          <w:sz w:val="28"/>
          <w:szCs w:val="28"/>
          <w14:textFill>
            <w14:solidFill>
              <w14:schemeClr w14:val="tx1"/>
            </w14:solidFill>
          </w14:textFill>
        </w:rPr>
        <w:fldChar w:fldCharType="begin"/>
      </w:r>
      <w:r>
        <w:rPr>
          <w:rFonts w:ascii="楷体" w:hAnsi="楷体" w:eastAsia="楷体" w:cs="楷体"/>
          <w:color w:val="000000" w:themeColor="text1"/>
          <w:sz w:val="28"/>
          <w:szCs w:val="28"/>
          <w14:textFill>
            <w14:solidFill>
              <w14:schemeClr w14:val="tx1"/>
            </w14:solidFill>
          </w14:textFill>
        </w:rPr>
        <w:instrText xml:space="preserve"> PAGEREF _Toc3161 \h </w:instrText>
      </w:r>
      <w:r>
        <w:rPr>
          <w:rFonts w:ascii="楷体" w:hAnsi="楷体" w:eastAsia="楷体" w:cs="楷体"/>
          <w:color w:val="000000" w:themeColor="text1"/>
          <w:sz w:val="28"/>
          <w:szCs w:val="28"/>
          <w14:textFill>
            <w14:solidFill>
              <w14:schemeClr w14:val="tx1"/>
            </w14:solidFill>
          </w14:textFill>
        </w:rPr>
        <w:fldChar w:fldCharType="separate"/>
      </w:r>
      <w:r>
        <w:rPr>
          <w:rFonts w:ascii="楷体" w:hAnsi="楷体" w:eastAsia="楷体" w:cs="楷体"/>
          <w:color w:val="000000" w:themeColor="text1"/>
          <w:sz w:val="28"/>
          <w:szCs w:val="28"/>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（二）回避情形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3</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"_Toc28052"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（三）岗位开考</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4</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四、资格复核</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4</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"_Toc12038"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五、年龄、资格（历）等的计算办法</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5</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"_六、学历（位）认定"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六、学历（位）认定</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"_（一）境内学历（位）"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（一）境内学历（位）</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6</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（二）境外学历（位）</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"_Toc23613"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（三）福建省“双学位”“双专业”教育</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"_Toc8728"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（四）提醒事项</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"_Toc12784"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七、专业认定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8</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"_Toc20957"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（一）填报专业名称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"_Toc26794"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（二）专业与学历（位）的对应关系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"_（三）专业资格的认定"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（三）专业资格的认定</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八、工作经验认定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9</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"_Toc20146"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九、笔试加分</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"_（一）加分原则"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（一）加分原则</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10</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"_（二）加分政策"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（二）加分政策</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0</w:t>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"_（三）加分证明"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（三）加分证明</w:t>
      </w:r>
      <w:r>
        <w:rPr>
          <w:rStyle w:val="11"/>
          <w:rFonts w:ascii="楷体" w:hAnsi="楷体" w:eastAsia="楷体" w:cs="楷体"/>
          <w:color w:val="000000" w:themeColor="text1"/>
          <w:sz w:val="28"/>
          <w:szCs w:val="28"/>
          <w14:textFill>
            <w14:solidFill>
              <w14:schemeClr w14:val="tx1"/>
            </w14:solidFill>
          </w14:textFill>
        </w:rPr>
        <w:tab/>
      </w:r>
      <w:bookmarkStart w:id="365" w:name="_GoBack"/>
      <w:bookmarkEnd w:id="365"/>
      <w:r>
        <w:rPr>
          <w:rStyle w:val="11"/>
          <w:rFonts w:ascii="楷体" w:hAnsi="楷体" w:eastAsia="楷体" w:cs="楷体"/>
          <w:color w:val="000000" w:themeColor="text1"/>
          <w:sz w:val="28"/>
          <w:szCs w:val="28"/>
          <w14:textFill>
            <w14:solidFill>
              <w14:schemeClr w14:val="tx1"/>
            </w14:solidFill>
          </w14:textFill>
        </w:rPr>
        <w:fldChar w:fldCharType="begin"/>
      </w:r>
      <w:r>
        <w:rPr>
          <w:rStyle w:val="11"/>
          <w:rFonts w:ascii="楷体" w:hAnsi="楷体" w:eastAsia="楷体" w:cs="楷体"/>
          <w:color w:val="000000" w:themeColor="text1"/>
          <w:sz w:val="28"/>
          <w:szCs w:val="28"/>
          <w14:textFill>
            <w14:solidFill>
              <w14:schemeClr w14:val="tx1"/>
            </w14:solidFill>
          </w14:textFill>
        </w:rPr>
        <w:instrText xml:space="preserve"> PAGEREF _Toc8388 \h </w:instrText>
      </w:r>
      <w:r>
        <w:rPr>
          <w:rStyle w:val="11"/>
          <w:rFonts w:ascii="楷体" w:hAnsi="楷体" w:eastAsia="楷体" w:cs="楷体"/>
          <w:color w:val="000000" w:themeColor="text1"/>
          <w:sz w:val="28"/>
          <w:szCs w:val="28"/>
          <w14:textFill>
            <w14:solidFill>
              <w14:schemeClr w14:val="tx1"/>
            </w14:solidFill>
          </w14:textFill>
        </w:rPr>
        <w:fldChar w:fldCharType="separate"/>
      </w:r>
      <w:r>
        <w:rPr>
          <w:rStyle w:val="11"/>
          <w:rFonts w:ascii="楷体" w:hAnsi="楷体" w:eastAsia="楷体" w:cs="楷体"/>
          <w:color w:val="000000" w:themeColor="text1"/>
          <w:sz w:val="28"/>
          <w:szCs w:val="28"/>
          <w14:textFill>
            <w14:solidFill>
              <w14:schemeClr w14:val="tx1"/>
            </w14:solidFill>
          </w14:textFill>
        </w:rPr>
        <w:t>12</w:t>
      </w:r>
      <w:r>
        <w:rPr>
          <w:rStyle w:val="11"/>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"_十、体检"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十、体检</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13</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"_（一）确定人选"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（一）确定人选</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（二）组织体检</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3</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"_（三）体检依据"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（三）体检依据</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"_（四）体检复检"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（四）体检复检</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14</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（五）可延迟体检的情形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"_Toc8472"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十一、考察</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二</w:t>
      </w:r>
      <w:r>
        <w:rPr>
          <w:rFonts w:hint="eastAsia" w:ascii="黑体" w:hAnsi="黑体" w:eastAsia="黑体" w:cs="黑体"/>
          <w:color w:val="000000" w:themeColor="text1"/>
          <w:sz w:val="28"/>
          <w:szCs w:val="28"/>
          <w14:textFill>
            <w14:solidFill>
              <w14:schemeClr w14:val="tx1"/>
            </w14:solidFill>
          </w14:textFill>
        </w:rPr>
        <w:t>、聘用</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"_Toc14984"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（一）手续办理</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"_Toc27370"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（二）岗位聘任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"_Toc5705"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三</w:t>
      </w:r>
      <w:r>
        <w:rPr>
          <w:rFonts w:hint="eastAsia" w:ascii="黑体" w:hAnsi="黑体" w:eastAsia="黑体" w:cs="黑体"/>
          <w:color w:val="000000" w:themeColor="text1"/>
          <w:sz w:val="28"/>
          <w:szCs w:val="28"/>
          <w14:textFill>
            <w14:solidFill>
              <w14:schemeClr w14:val="tx1"/>
            </w14:solidFill>
          </w14:textFill>
        </w:rPr>
        <w:t>、其他事项</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"_Toc10955"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（一）中共党员</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（二）职称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"_Toc23989"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（三）规范化培训</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7</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"_（四）应届高校毕业生"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（四）应届高校毕业生</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8</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"_（五）生源"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（五）生源</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"_（六）港澳台人员"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（六）港澳台人员</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"_Toc1416"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（七）技工院校毕业生</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"_Toc16887"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四</w:t>
      </w:r>
      <w:r>
        <w:rPr>
          <w:rFonts w:hint="eastAsia" w:ascii="黑体" w:hAnsi="黑体" w:eastAsia="黑体" w:cs="黑体"/>
          <w:color w:val="000000" w:themeColor="text1"/>
          <w:sz w:val="28"/>
          <w:szCs w:val="28"/>
          <w14:textFill>
            <w14:solidFill>
              <w14:schemeClr w14:val="tx1"/>
            </w14:solidFill>
          </w14:textFill>
        </w:rPr>
        <w:t>、疫情防控要求</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_Toc16887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20</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560" w:firstLineChars="200"/>
        <w:rPr>
          <w:rFonts w:ascii="??_GB2312" w:eastAsia="Times New Roman"/>
          <w:color w:val="000000" w:themeColor="text1"/>
          <w:sz w:val="32"/>
          <w:szCs w:val="32"/>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厦门医学院附属第二医院、附属口腔医院</w:t>
      </w:r>
      <w:r>
        <w:rPr>
          <w:rFonts w:ascii="??_GB2312" w:eastAsia="Times New Roman"/>
          <w:color w:val="000000" w:themeColor="text1"/>
          <w:sz w:val="32"/>
          <w:szCs w:val="32"/>
          <w14:textFill>
            <w14:solidFill>
              <w14:schemeClr w14:val="tx1"/>
            </w14:solidFill>
          </w14:textFill>
        </w:rPr>
        <w:t>补充编内工作人员招聘考试（2021年4月），由</w:t>
      </w:r>
      <w:r>
        <w:rPr>
          <w:rFonts w:hint="eastAsia" w:ascii="??_GB2312"/>
          <w:color w:val="000000" w:themeColor="text1"/>
          <w:sz w:val="32"/>
          <w:szCs w:val="32"/>
          <w:lang w:eastAsia="zh-CN"/>
          <w14:textFill>
            <w14:solidFill>
              <w14:schemeClr w14:val="tx1"/>
            </w14:solidFill>
          </w14:textFill>
        </w:rPr>
        <w:t>厦门医学院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10459"/>
      <w:bookmarkStart w:id="2" w:name="_Toc14912"/>
      <w:bookmarkStart w:id="3" w:name="_Toc23801"/>
      <w:bookmarkStart w:id="4" w:name="_Toc14381"/>
      <w:bookmarkStart w:id="5" w:name="_Toc3629"/>
      <w:bookmarkStart w:id="6" w:name="_Toc26791"/>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p>
    <w:p>
      <w:pPr>
        <w:ind w:firstLine="640" w:firstLineChars="200"/>
        <w:rPr>
          <w:rFonts w:ascii="??_GB2312" w:eastAsia="Times New Roman"/>
          <w:color w:val="000000" w:themeColor="text1"/>
          <w:sz w:val="32"/>
          <w:szCs w:val="32"/>
          <w14:textFill>
            <w14:solidFill>
              <w14:schemeClr w14:val="tx1"/>
            </w14:solidFill>
          </w14:textFill>
        </w:rPr>
      </w:pPr>
      <w:bookmarkStart w:id="7" w:name="_Toc29243_WPSOffice_Level2"/>
      <w:bookmarkStart w:id="8" w:name="_Toc17638_WPSOffice_Level2"/>
      <w:bookmarkStart w:id="9" w:name="_Toc9119_WPSOffice_Level2"/>
      <w:bookmarkStart w:id="10" w:name="_Toc19262_WPSOffice_Level2"/>
      <w:r>
        <w:rPr>
          <w:rFonts w:ascii="??_GB2312" w:eastAsia="Times New Roman"/>
          <w:color w:val="000000" w:themeColor="text1"/>
          <w:sz w:val="32"/>
          <w:szCs w:val="32"/>
          <w14:textFill>
            <w14:solidFill>
              <w14:schemeClr w14:val="tx1"/>
            </w14:solidFill>
          </w14:textFill>
        </w:rPr>
        <w:t>（一）具有中华人民共和国国籍；</w:t>
      </w:r>
      <w:bookmarkEnd w:id="7"/>
      <w:bookmarkEnd w:id="8"/>
      <w:bookmarkEnd w:id="9"/>
      <w:bookmarkEnd w:id="10"/>
    </w:p>
    <w:p>
      <w:pPr>
        <w:ind w:firstLine="640" w:firstLineChars="200"/>
        <w:rPr>
          <w:rFonts w:ascii="??_GB2312" w:eastAsia="Times New Roman"/>
          <w:color w:val="000000" w:themeColor="text1"/>
          <w:sz w:val="32"/>
          <w:szCs w:val="32"/>
          <w14:textFill>
            <w14:solidFill>
              <w14:schemeClr w14:val="tx1"/>
            </w14:solidFill>
          </w14:textFill>
        </w:rPr>
      </w:pPr>
      <w:bookmarkStart w:id="11" w:name="_Toc11941_WPSOffice_Level2"/>
      <w:bookmarkStart w:id="12" w:name="_Toc4207_WPSOffice_Level2"/>
      <w:bookmarkStart w:id="13" w:name="_Toc12392_WPSOffice_Level2"/>
      <w:bookmarkStart w:id="14" w:name="_Toc17350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1"/>
      <w:bookmarkEnd w:id="12"/>
      <w:bookmarkEnd w:id="13"/>
      <w:bookmarkEnd w:id="14"/>
    </w:p>
    <w:p>
      <w:pPr>
        <w:ind w:firstLine="640" w:firstLineChars="200"/>
        <w:rPr>
          <w:rFonts w:ascii="??_GB2312" w:eastAsia="Times New Roman"/>
          <w:color w:val="000000" w:themeColor="text1"/>
          <w:sz w:val="32"/>
          <w:szCs w:val="32"/>
          <w14:textFill>
            <w14:solidFill>
              <w14:schemeClr w14:val="tx1"/>
            </w14:solidFill>
          </w14:textFill>
        </w:rPr>
      </w:pPr>
      <w:bookmarkStart w:id="15" w:name="_Toc7847_WPSOffice_Level2"/>
      <w:bookmarkStart w:id="16" w:name="_Toc6014_WPSOffice_Level2"/>
      <w:bookmarkStart w:id="17" w:name="_Toc20094_WPSOffice_Level2"/>
      <w:bookmarkStart w:id="18" w:name="_Toc9634_WPSOffice_Level2"/>
      <w:r>
        <w:rPr>
          <w:rFonts w:ascii="??_GB2312" w:eastAsia="Times New Roman"/>
          <w:color w:val="000000" w:themeColor="text1"/>
          <w:sz w:val="32"/>
          <w:szCs w:val="32"/>
          <w14:textFill>
            <w14:solidFill>
              <w14:schemeClr w14:val="tx1"/>
            </w14:solidFill>
          </w14:textFill>
        </w:rPr>
        <w:t>（三）</w:t>
      </w:r>
      <w:bookmarkEnd w:id="15"/>
      <w:bookmarkEnd w:id="16"/>
      <w:bookmarkEnd w:id="17"/>
      <w:bookmarkEnd w:id="18"/>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19" w:name="_Toc4758_WPSOffice_Level2"/>
      <w:bookmarkStart w:id="20" w:name="_Toc19929_WPSOffice_Level2"/>
      <w:bookmarkStart w:id="21" w:name="_Toc26060_WPSOffice_Level2"/>
      <w:bookmarkStart w:id="22" w:name="_Toc10788_WPSOffice_Level2"/>
      <w:r>
        <w:rPr>
          <w:rFonts w:ascii="??_GB2312" w:eastAsia="Times New Roman"/>
          <w:color w:val="000000" w:themeColor="text1"/>
          <w:sz w:val="32"/>
          <w:szCs w:val="32"/>
          <w14:textFill>
            <w14:solidFill>
              <w14:schemeClr w14:val="tx1"/>
            </w14:solidFill>
          </w14:textFill>
        </w:rPr>
        <w:t>（五）具备招聘岗位设置的资格条件。</w:t>
      </w:r>
      <w:bookmarkEnd w:id="19"/>
      <w:bookmarkEnd w:id="20"/>
      <w:bookmarkEnd w:id="21"/>
      <w:bookmarkEnd w:id="22"/>
    </w:p>
    <w:p>
      <w:pPr>
        <w:pStyle w:val="2"/>
        <w:rPr>
          <w:rFonts w:ascii="黑体" w:hAnsi="黑体" w:eastAsia="黑体" w:cs="黑体"/>
          <w:color w:val="000000" w:themeColor="text1"/>
          <w:sz w:val="32"/>
          <w:szCs w:val="32"/>
          <w14:textFill>
            <w14:solidFill>
              <w14:schemeClr w14:val="tx1"/>
            </w14:solidFill>
          </w14:textFill>
        </w:rPr>
      </w:pPr>
      <w:bookmarkStart w:id="23" w:name="_Toc25192"/>
      <w:bookmarkStart w:id="24" w:name="_Toc20470"/>
      <w:bookmarkStart w:id="25" w:name="_Toc25850"/>
      <w:bookmarkStart w:id="26" w:name="_Toc24502"/>
      <w:bookmarkStart w:id="27" w:name="_Toc5197"/>
      <w:bookmarkStart w:id="28" w:name="_Toc22673"/>
      <w:bookmarkStart w:id="29" w:name="_Toc3363"/>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3"/>
      <w:bookmarkEnd w:id="24"/>
      <w:bookmarkEnd w:id="25"/>
      <w:bookmarkEnd w:id="26"/>
      <w:bookmarkEnd w:id="27"/>
      <w:bookmarkEnd w:id="28"/>
      <w:bookmarkEnd w:id="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（二）曾被开除公职的；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（三）涉嫌违法犯罪正在接受司法调查尚未做出结论的，或尚未解除党（政）纪处分的，或正在接受纪律审查的;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（四）工作期间曾发生医疗事故负有主要责任的；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（六）考录（不含转任）后服务年限（含试用期）不满2年以及未达到与当地公务员主管部门或单位组织人事部门约定服务年限的公务员和参公人员；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（七）报名时不是试用期内公务员或参公人员，但在报名之后、聘用之前成为试用期内公务员或参公人员的；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（八）现役军人；</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（九）普通高等院校全日制在读的非应届毕业生（即2022年及以后才学业期满的全日制普通教育学生）；</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（十）聘用后即构成应回避关系的；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一</w:t>
      </w:r>
      <w:r>
        <w:rPr>
          <w:rFonts w:ascii="??_GB2312" w:eastAsia="Times New Roman"/>
          <w:color w:val="000000" w:themeColor="text1"/>
          <w:sz w:val="32"/>
          <w:szCs w:val="32"/>
          <w14:textFill>
            <w14:solidFill>
              <w14:schemeClr w14:val="tx1"/>
            </w14:solidFill>
          </w14:textFill>
        </w:rPr>
        <w:t>）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二</w:t>
      </w:r>
      <w:r>
        <w:rPr>
          <w:rFonts w:ascii="??_GB2312" w:eastAsia="Times New Roman"/>
          <w:color w:val="000000" w:themeColor="text1"/>
          <w:sz w:val="32"/>
          <w:szCs w:val="32"/>
          <w14:textFill>
            <w14:solidFill>
              <w14:schemeClr w14:val="tx1"/>
            </w14:solidFill>
          </w14:textFill>
        </w:rPr>
        <w:t>）法律法规规章规定不得聘为事业单位人员的。</w:t>
      </w:r>
    </w:p>
    <w:p>
      <w:pPr>
        <w:pStyle w:val="2"/>
        <w:rPr>
          <w:rFonts w:ascii="黑体" w:hAnsi="黑体" w:eastAsia="黑体" w:cs="黑体"/>
          <w:color w:val="000000" w:themeColor="text1"/>
          <w:sz w:val="32"/>
          <w:szCs w:val="32"/>
          <w14:textFill>
            <w14:solidFill>
              <w14:schemeClr w14:val="tx1"/>
            </w14:solidFill>
          </w14:textFill>
        </w:rPr>
      </w:pPr>
      <w:bookmarkStart w:id="30" w:name="_Toc6005"/>
      <w:bookmarkStart w:id="31" w:name="_Toc27877"/>
      <w:bookmarkStart w:id="32" w:name="_Toc28345"/>
      <w:bookmarkStart w:id="33" w:name="_Toc14770"/>
      <w:bookmarkStart w:id="34" w:name="_Toc24432"/>
      <w:bookmarkStart w:id="35" w:name="_Toc32418"/>
      <w:bookmarkStart w:id="36" w:name="_Toc9365"/>
      <w:r>
        <w:rPr>
          <w:rFonts w:hint="eastAsia" w:ascii="黑体" w:hAnsi="黑体" w:eastAsia="黑体" w:cs="黑体"/>
          <w:color w:val="000000" w:themeColor="text1"/>
          <w:sz w:val="32"/>
          <w:szCs w:val="32"/>
          <w14:textFill>
            <w14:solidFill>
              <w14:schemeClr w14:val="tx1"/>
            </w14:solidFill>
          </w14:textFill>
        </w:rPr>
        <w:t>三、选报岗位须知</w:t>
      </w:r>
      <w:bookmarkEnd w:id="30"/>
      <w:bookmarkEnd w:id="31"/>
      <w:bookmarkEnd w:id="32"/>
      <w:bookmarkEnd w:id="33"/>
      <w:bookmarkEnd w:id="34"/>
      <w:bookmarkEnd w:id="35"/>
      <w:bookmarkEnd w:id="36"/>
      <w:bookmarkStart w:id="37" w:name="_Toc2901"/>
      <w:bookmarkStart w:id="38" w:name="_Toc25581"/>
      <w:bookmarkStart w:id="39" w:name="_Toc9596"/>
    </w:p>
    <w:bookmarkEnd w:id="37"/>
    <w:bookmarkEnd w:id="38"/>
    <w:bookmarkEnd w:id="39"/>
    <w:p>
      <w:pPr>
        <w:pStyle w:val="2"/>
        <w:rPr>
          <w:rFonts w:ascii="楷体" w:hAnsi="楷体" w:eastAsia="楷体" w:cs="楷体"/>
          <w:color w:val="000000" w:themeColor="text1"/>
          <w:sz w:val="32"/>
          <w:szCs w:val="32"/>
          <w14:textFill>
            <w14:solidFill>
              <w14:schemeClr w14:val="tx1"/>
            </w14:solidFill>
          </w14:textFill>
        </w:rPr>
      </w:pPr>
      <w:bookmarkStart w:id="40" w:name="_Toc20515"/>
      <w:bookmarkStart w:id="41" w:name="_Toc8174"/>
      <w:bookmarkStart w:id="42" w:name="_Toc20139"/>
      <w:bookmarkStart w:id="43" w:name="_Toc18587"/>
      <w:bookmarkStart w:id="44" w:name="_Toc7637"/>
      <w:bookmarkStart w:id="45" w:name="_Toc31635"/>
      <w:bookmarkStart w:id="46" w:name="_Toc3161"/>
      <w:r>
        <w:rPr>
          <w:rFonts w:hint="eastAsia" w:ascii="楷体" w:hAnsi="楷体" w:eastAsia="楷体" w:cs="楷体"/>
          <w:color w:val="000000" w:themeColor="text1"/>
          <w:sz w:val="32"/>
          <w:szCs w:val="32"/>
          <w14:textFill>
            <w14:solidFill>
              <w14:schemeClr w14:val="tx1"/>
            </w14:solidFill>
          </w14:textFill>
        </w:rPr>
        <w:t>（一）照片</w:t>
      </w:r>
      <w:bookmarkEnd w:id="40"/>
      <w:bookmarkEnd w:id="41"/>
      <w:bookmarkEnd w:id="42"/>
      <w:bookmarkEnd w:id="43"/>
      <w:bookmarkEnd w:id="44"/>
      <w:bookmarkEnd w:id="45"/>
      <w:r>
        <w:rPr>
          <w:rFonts w:hint="eastAsia" w:ascii="楷体" w:hAnsi="楷体" w:eastAsia="楷体" w:cs="楷体"/>
          <w:color w:val="000000" w:themeColor="text1"/>
          <w:sz w:val="32"/>
          <w:szCs w:val="32"/>
          <w14:textFill>
            <w14:solidFill>
              <w14:schemeClr w14:val="tx1"/>
            </w14:solidFill>
          </w14:textFill>
        </w:rPr>
        <w:t>要求</w:t>
      </w:r>
      <w:bookmarkEnd w:id="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47" w:name="_Toc1624"/>
      <w:bookmarkStart w:id="48" w:name="_Toc16906"/>
      <w:bookmarkStart w:id="49" w:name="_Toc21891"/>
    </w:p>
    <w:p>
      <w:pPr>
        <w:pStyle w:val="2"/>
        <w:rPr>
          <w:rFonts w:ascii="楷体" w:hAnsi="楷体" w:eastAsia="楷体" w:cs="楷体"/>
          <w:color w:val="000000" w:themeColor="text1"/>
          <w:sz w:val="32"/>
          <w:szCs w:val="32"/>
          <w14:textFill>
            <w14:solidFill>
              <w14:schemeClr w14:val="tx1"/>
            </w14:solidFill>
          </w14:textFill>
        </w:rPr>
      </w:pPr>
      <w:bookmarkStart w:id="50" w:name="_Toc25424"/>
      <w:bookmarkStart w:id="51" w:name="_Toc308"/>
      <w:r>
        <w:rPr>
          <w:rFonts w:hint="eastAsia" w:ascii="楷体" w:hAnsi="楷体" w:eastAsia="楷体" w:cs="楷体"/>
          <w:color w:val="000000" w:themeColor="text1"/>
          <w:sz w:val="32"/>
          <w:szCs w:val="32"/>
          <w14:textFill>
            <w14:solidFill>
              <w14:schemeClr w14:val="tx1"/>
            </w14:solidFill>
          </w14:textFill>
        </w:rPr>
        <w:t>（二）回避情形</w:t>
      </w:r>
      <w:bookmarkEnd w:id="47"/>
      <w:bookmarkEnd w:id="48"/>
      <w:bookmarkEnd w:id="49"/>
      <w:bookmarkEnd w:id="50"/>
      <w:bookmarkEnd w:id="5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2" w:name="_Toc31418"/>
      <w:bookmarkStart w:id="53" w:name="_Toc6547"/>
      <w:bookmarkStart w:id="54" w:name="_Toc28052"/>
      <w:bookmarkStart w:id="55" w:name="_Toc20101"/>
      <w:bookmarkStart w:id="56" w:name="_Toc29283"/>
      <w:bookmarkStart w:id="57" w:name="_Toc459"/>
      <w:bookmarkStart w:id="58" w:name="_Toc29376"/>
      <w:r>
        <w:rPr>
          <w:rFonts w:hint="eastAsia" w:ascii="楷体" w:hAnsi="楷体" w:eastAsia="楷体" w:cs="楷体"/>
          <w:color w:val="000000" w:themeColor="text1"/>
          <w:sz w:val="32"/>
          <w:szCs w:val="32"/>
          <w14:textFill>
            <w14:solidFill>
              <w14:schemeClr w14:val="tx1"/>
            </w14:solidFill>
          </w14:textFill>
        </w:rPr>
        <w:t>（三）</w:t>
      </w:r>
      <w:bookmarkStart w:id="59"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2"/>
      <w:bookmarkEnd w:id="53"/>
      <w:bookmarkEnd w:id="54"/>
      <w:bookmarkEnd w:id="55"/>
      <w:bookmarkEnd w:id="56"/>
      <w:bookmarkEnd w:id="57"/>
      <w:bookmarkEnd w:id="58"/>
      <w:bookmarkEnd w:id="5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0" w:name="_Toc15831"/>
      <w:bookmarkStart w:id="61" w:name="_Toc13225"/>
      <w:bookmarkStart w:id="62" w:name="_Toc250"/>
      <w:bookmarkStart w:id="63" w:name="_Toc27094"/>
      <w:bookmarkStart w:id="64" w:name="_Toc14901"/>
      <w:bookmarkStart w:id="65" w:name="_Toc1152"/>
      <w:bookmarkStart w:id="66" w:name="_Toc1344"/>
      <w:r>
        <w:rPr>
          <w:rFonts w:hint="eastAsia" w:ascii="黑体" w:hAnsi="黑体" w:eastAsia="黑体" w:cs="黑体"/>
          <w:color w:val="000000" w:themeColor="text1"/>
          <w:sz w:val="32"/>
          <w:szCs w:val="32"/>
          <w14:textFill>
            <w14:solidFill>
              <w14:schemeClr w14:val="tx1"/>
            </w14:solidFill>
          </w14:textFill>
        </w:rPr>
        <w:t>四、资格复核</w:t>
      </w:r>
      <w:bookmarkEnd w:id="60"/>
      <w:bookmarkEnd w:id="61"/>
      <w:bookmarkEnd w:id="62"/>
      <w:bookmarkEnd w:id="63"/>
      <w:bookmarkEnd w:id="64"/>
      <w:bookmarkEnd w:id="65"/>
      <w:bookmarkEnd w:id="6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（一）2021届毕业生：报名表、准考证（或免笔试通知书）、本人有效身份证、个人简历、《就业推荐表》或学校开具的其他</w:t>
      </w:r>
      <w:r>
        <w:rPr>
          <w:rFonts w:hint="eastAsia" w:ascii="??_GB2312" w:eastAsia="Times New Roman"/>
          <w:color w:val="000000" w:themeColor="text1"/>
          <w:sz w:val="32"/>
          <w:szCs w:val="32"/>
          <w14:textFill>
            <w14:solidFill>
              <w14:schemeClr w14:val="tx1"/>
            </w14:solidFill>
          </w14:textFill>
        </w:rPr>
        <w:t>能</w:t>
      </w:r>
      <w:r>
        <w:rPr>
          <w:rFonts w:ascii="??_GB2312" w:eastAsia="Times New Roman"/>
          <w:color w:val="000000" w:themeColor="text1"/>
          <w:sz w:val="32"/>
          <w:szCs w:val="32"/>
          <w14:textFill>
            <w14:solidFill>
              <w14:schemeClr w14:val="tx1"/>
            </w14:solidFill>
          </w14:textFill>
        </w:rPr>
        <w:t>证明2021届毕业生身份的材料、承诺书（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附件）以及岗位资格条件要求的其他材料。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（二）其他人员：报名表、准考证（或免笔试通知书）、本人有效身份证、个人简历、学历（位）证以及岗位资格条件要求的其他材料。其中：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67" w:name="_Toc18301"/>
      <w:bookmarkStart w:id="68" w:name="_Toc26712"/>
      <w:bookmarkStart w:id="69" w:name="_Toc16408"/>
      <w:bookmarkStart w:id="70" w:name="_Toc15383"/>
      <w:bookmarkStart w:id="71" w:name="_Toc30212"/>
      <w:bookmarkStart w:id="72" w:name="_Toc16925"/>
      <w:bookmarkStart w:id="73" w:name="_Toc12038"/>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p>
    <w:p>
      <w:pPr>
        <w:pStyle w:val="2"/>
        <w:rPr>
          <w:rFonts w:ascii="楷体" w:hAnsi="楷体" w:eastAsia="楷体" w:cs="楷体"/>
          <w:color w:val="000000" w:themeColor="text1"/>
          <w:sz w:val="32"/>
          <w:szCs w:val="32"/>
          <w14:textFill>
            <w14:solidFill>
              <w14:schemeClr w14:val="tx1"/>
            </w14:solidFill>
          </w14:textFill>
        </w:rPr>
      </w:pPr>
      <w:bookmarkStart w:id="74" w:name="_Toc25286"/>
      <w:r>
        <w:rPr>
          <w:rFonts w:hint="eastAsia" w:ascii="楷体" w:hAnsi="楷体" w:eastAsia="楷体" w:cs="楷体"/>
          <w:color w:val="000000" w:themeColor="text1"/>
          <w:sz w:val="32"/>
          <w:szCs w:val="32"/>
          <w14:textFill>
            <w14:solidFill>
              <w14:schemeClr w14:val="tx1"/>
            </w14:solidFill>
          </w14:textFill>
        </w:rPr>
        <w:t>（一）年龄</w:t>
      </w:r>
      <w:bookmarkEnd w:id="74"/>
    </w:p>
    <w:p>
      <w:pPr>
        <w:ind w:firstLine="640" w:firstLineChars="200"/>
        <w:rPr>
          <w:rFonts w:ascii="??_GB2312" w:eastAsia="Times New Roman"/>
          <w:color w:val="000000" w:themeColor="text1"/>
          <w:sz w:val="32"/>
          <w:szCs w:val="32"/>
          <w14:textFill>
            <w14:solidFill>
              <w14:schemeClr w14:val="tx1"/>
            </w14:solidFill>
          </w14:textFill>
        </w:rPr>
      </w:pPr>
      <w:bookmarkStart w:id="75"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岗位资格条件要求的最高年龄35周岁是指18周岁以上、35周岁以下（即在1985年4月至2003年4月间出生人员），其他最高年龄要求的计算方法以此类推。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（二）资格（历）等</w:t>
      </w:r>
      <w:bookmarkEnd w:id="75"/>
    </w:p>
    <w:p>
      <w:pPr>
        <w:ind w:firstLine="640" w:firstLineChars="200"/>
        <w:rPr>
          <w:rFonts w:ascii="??_GB2312" w:eastAsia="Times New Roman"/>
          <w:color w:val="000000" w:themeColor="text1"/>
          <w:sz w:val="32"/>
          <w:szCs w:val="32"/>
          <w14:textFill>
            <w14:solidFill>
              <w14:schemeClr w14:val="tx1"/>
            </w14:solidFill>
          </w14:textFill>
        </w:rPr>
      </w:pPr>
      <w:bookmarkStart w:id="76" w:name="_Toc14196"/>
      <w:bookmarkStart w:id="77" w:name="_Toc30031"/>
      <w:bookmarkStart w:id="78" w:name="_Toc3272"/>
      <w:bookmarkStart w:id="79" w:name="_Toc21060"/>
      <w:bookmarkStart w:id="80" w:name="_Toc8761"/>
      <w:bookmarkStart w:id="81" w:name="_Toc20934"/>
      <w:bookmarkStart w:id="82" w:name="_Toc3023"/>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83"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76"/>
      <w:bookmarkEnd w:id="77"/>
      <w:bookmarkEnd w:id="78"/>
      <w:bookmarkEnd w:id="79"/>
      <w:bookmarkEnd w:id="80"/>
      <w:bookmarkEnd w:id="81"/>
      <w:bookmarkEnd w:id="82"/>
    </w:p>
    <w:bookmarkEnd w:id="83"/>
    <w:p>
      <w:pPr>
        <w:ind w:firstLine="640" w:firstLineChars="200"/>
        <w:rPr>
          <w:rFonts w:ascii="??_GB2312" w:eastAsia="Times New Roman"/>
          <w:color w:val="000000" w:themeColor="text1"/>
          <w:sz w:val="32"/>
          <w:szCs w:val="32"/>
          <w14:textFill>
            <w14:solidFill>
              <w14:schemeClr w14:val="tx1"/>
            </w14:solidFill>
          </w14:textFill>
        </w:rPr>
      </w:pPr>
      <w:bookmarkStart w:id="84" w:name="_Toc1390"/>
      <w:bookmarkStart w:id="85" w:name="_Toc15609"/>
      <w:bookmarkStart w:id="86" w:name="_Toc15768"/>
      <w:bookmarkStart w:id="87" w:name="_Toc26083"/>
      <w:bookmarkStart w:id="88" w:name="_Toc21436"/>
      <w:bookmarkStart w:id="89" w:name="_Toc18537"/>
      <w:bookmarkStart w:id="90" w:name="_Toc31141"/>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91"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84"/>
      <w:bookmarkEnd w:id="85"/>
      <w:bookmarkEnd w:id="86"/>
      <w:bookmarkEnd w:id="87"/>
      <w:bookmarkEnd w:id="88"/>
      <w:bookmarkEnd w:id="89"/>
      <w:bookmarkEnd w:id="90"/>
    </w:p>
    <w:bookmarkEnd w:id="91"/>
    <w:p>
      <w:pPr>
        <w:ind w:firstLine="640" w:firstLineChars="200"/>
        <w:rPr>
          <w:rFonts w:ascii="??_GB2312" w:eastAsia="Times New Roman"/>
          <w:color w:val="000000" w:themeColor="text1"/>
          <w:sz w:val="32"/>
          <w:szCs w:val="32"/>
          <w14:textFill>
            <w14:solidFill>
              <w14:schemeClr w14:val="tx1"/>
            </w14:solidFill>
          </w14:textFill>
        </w:rPr>
      </w:pPr>
      <w:bookmarkStart w:id="92" w:name="_Toc12445"/>
      <w:bookmarkStart w:id="93" w:name="_Toc12784"/>
      <w:bookmarkStart w:id="94" w:name="_Toc20018"/>
      <w:bookmarkStart w:id="95" w:name="_Toc23500"/>
      <w:bookmarkStart w:id="96" w:name="_Toc6283"/>
      <w:bookmarkStart w:id="97" w:name="_Toc28427"/>
      <w:bookmarkStart w:id="98" w:name="_Toc25204"/>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全日制普通教育2021届毕业生尚未取得相应学历（位）的，可持学校出具的《就业推荐表》</w:t>
      </w:r>
      <w:r>
        <w:rPr>
          <w:rFonts w:hint="eastAsia" w:ascii="??_GB2312" w:eastAsia="Times New Roman"/>
          <w:color w:val="000000" w:themeColor="text1"/>
          <w:sz w:val="32"/>
          <w:szCs w:val="32"/>
          <w14:textFill>
            <w14:solidFill>
              <w14:schemeClr w14:val="tx1"/>
            </w14:solidFill>
          </w14:textFill>
        </w:rPr>
        <w:t>或书面证明</w:t>
      </w:r>
      <w:r>
        <w:rPr>
          <w:rFonts w:ascii="??_GB2312" w:eastAsia="Times New Roman"/>
          <w:color w:val="000000" w:themeColor="text1"/>
          <w:sz w:val="32"/>
          <w:szCs w:val="32"/>
          <w14:textFill>
            <w14:solidFill>
              <w14:schemeClr w14:val="tx1"/>
            </w14:solidFill>
          </w14:textFill>
        </w:rPr>
        <w:t>报名，本科及以下学历毕业生须于2021年9月30日前、研究生学历毕业生须于2021年12月31日前取得并能提供符合岗位报考资格条件的相应学历（位）证书，否则视为自动放弃考试（聘用）资格。</w:t>
      </w:r>
    </w:p>
    <w:p>
      <w:pPr>
        <w:pStyle w:val="2"/>
        <w:rPr>
          <w:rFonts w:ascii="楷体" w:hAnsi="楷体" w:eastAsia="楷体" w:cs="楷体"/>
          <w:color w:val="000000" w:themeColor="text1"/>
          <w:sz w:val="32"/>
          <w:szCs w:val="32"/>
          <w14:textFill>
            <w14:solidFill>
              <w14:schemeClr w14:val="tx1"/>
            </w14:solidFill>
          </w14:textFill>
        </w:rPr>
      </w:pPr>
      <w:bookmarkStart w:id="99" w:name="_Toc23481"/>
      <w:bookmarkStart w:id="100" w:name="_Toc19890"/>
      <w:bookmarkStart w:id="101" w:name="_Toc21019"/>
      <w:bookmarkStart w:id="102" w:name="_Toc25344"/>
      <w:bookmarkStart w:id="103" w:name="_Toc16410"/>
      <w:bookmarkStart w:id="104" w:name="_Toc26637"/>
      <w:bookmarkStart w:id="105" w:name="_Toc19903"/>
      <w:bookmarkStart w:id="106" w:name="_Toc2494"/>
      <w:r>
        <w:rPr>
          <w:rFonts w:hint="eastAsia" w:ascii="楷体" w:hAnsi="楷体" w:eastAsia="楷体" w:cs="楷体"/>
          <w:color w:val="000000" w:themeColor="text1"/>
          <w:sz w:val="32"/>
          <w:szCs w:val="32"/>
          <w14:textFill>
            <w14:solidFill>
              <w14:schemeClr w14:val="tx1"/>
            </w14:solidFill>
          </w14:textFill>
        </w:rPr>
        <w:t>（二）境外学历（位）</w:t>
      </w:r>
      <w:bookmarkEnd w:id="99"/>
      <w:bookmarkEnd w:id="100"/>
      <w:bookmarkEnd w:id="101"/>
      <w:bookmarkEnd w:id="102"/>
      <w:bookmarkEnd w:id="103"/>
      <w:bookmarkEnd w:id="104"/>
      <w:bookmarkEnd w:id="105"/>
      <w:bookmarkEnd w:id="10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持境外学历（位）报考的2021届毕业生，在资格复核时也须提交承诺书（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w:t>
      </w:r>
    </w:p>
    <w:p>
      <w:pPr>
        <w:pStyle w:val="2"/>
        <w:rPr>
          <w:rFonts w:ascii="楷体" w:hAnsi="楷体" w:eastAsia="楷体" w:cs="楷体"/>
          <w:color w:val="000000" w:themeColor="text1"/>
          <w:sz w:val="32"/>
          <w:szCs w:val="32"/>
          <w14:textFill>
            <w14:solidFill>
              <w14:schemeClr w14:val="tx1"/>
            </w14:solidFill>
          </w14:textFill>
        </w:rPr>
      </w:pPr>
      <w:bookmarkStart w:id="107" w:name="_Toc16795"/>
      <w:bookmarkStart w:id="108" w:name="_Toc22445"/>
      <w:bookmarkStart w:id="109" w:name="_Toc32368"/>
      <w:bookmarkStart w:id="110" w:name="_Toc8453"/>
      <w:bookmarkStart w:id="111" w:name="_Toc23613"/>
      <w:bookmarkStart w:id="112" w:name="_Toc10504"/>
      <w:bookmarkStart w:id="113" w:name="_Toc30743"/>
      <w:bookmarkStart w:id="114" w:name="_Toc14163"/>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07"/>
      <w:bookmarkEnd w:id="108"/>
      <w:bookmarkEnd w:id="109"/>
      <w:bookmarkEnd w:id="110"/>
      <w:bookmarkEnd w:id="111"/>
      <w:bookmarkEnd w:id="112"/>
      <w:bookmarkEnd w:id="113"/>
      <w:bookmarkEnd w:id="114"/>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15" w:name="_Toc32514"/>
      <w:bookmarkStart w:id="116" w:name="_Toc513"/>
      <w:bookmarkStart w:id="117" w:name="_Toc17251"/>
      <w:bookmarkStart w:id="118" w:name="_Toc4851"/>
      <w:bookmarkStart w:id="119" w:name="_Toc8728"/>
      <w:bookmarkStart w:id="120" w:name="_Toc14540"/>
      <w:bookmarkStart w:id="121" w:name="_Toc12030"/>
      <w:bookmarkStart w:id="122" w:name="_Toc16941"/>
      <w:r>
        <w:rPr>
          <w:rFonts w:hint="eastAsia" w:ascii="楷体" w:hAnsi="楷体" w:eastAsia="楷体" w:cs="楷体"/>
          <w:color w:val="000000" w:themeColor="text1"/>
          <w:sz w:val="32"/>
          <w:szCs w:val="32"/>
          <w14:textFill>
            <w14:solidFill>
              <w14:schemeClr w14:val="tx1"/>
            </w14:solidFill>
          </w14:textFill>
        </w:rPr>
        <w:t>（四）提醒事项</w:t>
      </w:r>
      <w:bookmarkEnd w:id="115"/>
      <w:bookmarkEnd w:id="116"/>
      <w:bookmarkEnd w:id="117"/>
      <w:bookmarkEnd w:id="118"/>
      <w:bookmarkEnd w:id="119"/>
      <w:bookmarkEnd w:id="120"/>
      <w:bookmarkEnd w:id="121"/>
      <w:bookmarkEnd w:id="122"/>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七、专业认定</w:t>
      </w:r>
      <w:bookmarkEnd w:id="92"/>
      <w:bookmarkEnd w:id="93"/>
      <w:bookmarkEnd w:id="94"/>
      <w:bookmarkEnd w:id="95"/>
      <w:bookmarkEnd w:id="96"/>
      <w:bookmarkEnd w:id="97"/>
      <w:bookmarkEnd w:id="9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本次招聘考试以《福建省机关事业单位招考专业指导目录（2021年）》（以下简称《专业指导目录》）作为岗位专业条件设置和审核的依据。其他来源的专业指导目录不作为本次报考和审核的依据。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23" w:name="_Toc10067"/>
      <w:bookmarkStart w:id="124" w:name="_Toc23238"/>
      <w:bookmarkStart w:id="125" w:name="_Toc10798"/>
      <w:bookmarkStart w:id="126" w:name="_Toc17684"/>
      <w:bookmarkStart w:id="127" w:name="_Toc12880"/>
      <w:bookmarkStart w:id="128" w:name="_Toc5122"/>
      <w:bookmarkStart w:id="129" w:name="_Toc20957"/>
      <w:r>
        <w:rPr>
          <w:rFonts w:hint="eastAsia" w:ascii="楷体" w:hAnsi="楷体" w:eastAsia="楷体" w:cs="楷体"/>
          <w:color w:val="000000" w:themeColor="text1"/>
          <w:sz w:val="32"/>
          <w:szCs w:val="32"/>
          <w14:textFill>
            <w14:solidFill>
              <w14:schemeClr w14:val="tx1"/>
            </w14:solidFill>
          </w14:textFill>
        </w:rPr>
        <w:t>（一）填报专业名称</w:t>
      </w:r>
      <w:bookmarkEnd w:id="123"/>
      <w:bookmarkEnd w:id="124"/>
      <w:bookmarkEnd w:id="125"/>
      <w:bookmarkEnd w:id="126"/>
      <w:bookmarkEnd w:id="127"/>
      <w:bookmarkEnd w:id="128"/>
      <w:bookmarkEnd w:id="1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30" w:name="_Toc2160"/>
      <w:bookmarkStart w:id="131" w:name="_Toc8254"/>
      <w:bookmarkStart w:id="132" w:name="_Toc28824"/>
      <w:bookmarkStart w:id="133" w:name="_Toc18233"/>
      <w:bookmarkStart w:id="134" w:name="_Toc26794"/>
      <w:bookmarkStart w:id="135" w:name="_Toc11746"/>
      <w:bookmarkStart w:id="136" w:name="_Toc2629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30"/>
      <w:bookmarkEnd w:id="131"/>
      <w:bookmarkEnd w:id="132"/>
      <w:bookmarkEnd w:id="133"/>
      <w:bookmarkEnd w:id="134"/>
      <w:bookmarkEnd w:id="135"/>
      <w:bookmarkEnd w:id="136"/>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37" w:name="_Toc21515"/>
      <w:bookmarkStart w:id="138" w:name="_Toc22335"/>
      <w:bookmarkStart w:id="139" w:name="_Toc5876"/>
      <w:bookmarkStart w:id="140" w:name="_Toc9196"/>
      <w:bookmarkStart w:id="141" w:name="_Toc6351"/>
      <w:bookmarkStart w:id="142" w:name="_Toc20923"/>
      <w:bookmarkStart w:id="143" w:name="_Toc11369"/>
      <w:bookmarkStart w:id="144"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37"/>
      <w:bookmarkEnd w:id="138"/>
      <w:bookmarkEnd w:id="139"/>
      <w:bookmarkEnd w:id="140"/>
      <w:bookmarkEnd w:id="141"/>
      <w:bookmarkEnd w:id="142"/>
      <w:bookmarkEnd w:id="143"/>
    </w:p>
    <w:bookmarkEnd w:id="14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45" w:name="_Toc5985"/>
      <w:bookmarkStart w:id="146" w:name="_Toc26125"/>
      <w:bookmarkStart w:id="147" w:name="_Toc2928"/>
      <w:bookmarkStart w:id="148" w:name="_Toc10277"/>
      <w:bookmarkStart w:id="149" w:name="_Toc10327"/>
      <w:bookmarkStart w:id="150" w:name="_Toc19746"/>
      <w:bookmarkStart w:id="151" w:name="_Toc6797"/>
      <w:r>
        <w:rPr>
          <w:rFonts w:hint="eastAsia" w:ascii="黑体" w:hAnsi="黑体" w:eastAsia="黑体" w:cs="黑体"/>
          <w:color w:val="000000" w:themeColor="text1"/>
          <w:sz w:val="32"/>
          <w:szCs w:val="32"/>
          <w14:textFill>
            <w14:solidFill>
              <w14:schemeClr w14:val="tx1"/>
            </w14:solidFill>
          </w14:textFill>
        </w:rPr>
        <w:t>八、工作经验</w:t>
      </w:r>
      <w:bookmarkEnd w:id="145"/>
      <w:bookmarkEnd w:id="146"/>
      <w:bookmarkEnd w:id="147"/>
      <w:bookmarkEnd w:id="148"/>
      <w:bookmarkEnd w:id="149"/>
      <w:bookmarkEnd w:id="150"/>
      <w:r>
        <w:rPr>
          <w:rFonts w:hint="eastAsia" w:ascii="黑体" w:hAnsi="黑体" w:eastAsia="黑体" w:cs="黑体"/>
          <w:color w:val="000000" w:themeColor="text1"/>
          <w:sz w:val="32"/>
          <w:szCs w:val="32"/>
          <w14:textFill>
            <w14:solidFill>
              <w14:schemeClr w14:val="tx1"/>
            </w14:solidFill>
          </w14:textFill>
        </w:rPr>
        <w:t>认定</w:t>
      </w:r>
      <w:bookmarkEnd w:id="151"/>
    </w:p>
    <w:p>
      <w:pPr>
        <w:ind w:firstLine="640" w:firstLineChars="200"/>
        <w:rPr>
          <w:rFonts w:hint="eastAsia" w:ascii="??_GB2312" w:eastAsia="Times New Roman"/>
          <w:color w:val="000000" w:themeColor="text1"/>
          <w:sz w:val="32"/>
          <w:szCs w:val="32"/>
          <w14:textFill>
            <w14:solidFill>
              <w14:schemeClr w14:val="tx1"/>
            </w14:solidFill>
          </w14:textFill>
        </w:rPr>
      </w:pPr>
      <w:bookmarkStart w:id="152" w:name="_Toc11732"/>
      <w:bookmarkStart w:id="153" w:name="_Toc3985"/>
      <w:bookmarkStart w:id="154" w:name="_Toc13553"/>
      <w:bookmarkStart w:id="155" w:name="_Toc25407"/>
      <w:bookmarkStart w:id="156" w:name="_Toc3728"/>
      <w:bookmarkStart w:id="157" w:name="_Toc14918"/>
      <w:bookmarkStart w:id="158" w:name="_Toc20146"/>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九、笔试加分</w:t>
      </w:r>
      <w:bookmarkEnd w:id="152"/>
      <w:bookmarkEnd w:id="153"/>
      <w:bookmarkEnd w:id="154"/>
      <w:bookmarkEnd w:id="155"/>
      <w:bookmarkEnd w:id="156"/>
      <w:bookmarkEnd w:id="157"/>
      <w:bookmarkEnd w:id="158"/>
    </w:p>
    <w:p>
      <w:pPr>
        <w:pStyle w:val="2"/>
        <w:rPr>
          <w:rFonts w:ascii="楷体" w:hAnsi="楷体" w:eastAsia="楷体" w:cs="楷体"/>
          <w:color w:val="000000" w:themeColor="text1"/>
          <w:sz w:val="32"/>
          <w:szCs w:val="32"/>
          <w14:textFill>
            <w14:solidFill>
              <w14:schemeClr w14:val="tx1"/>
            </w14:solidFill>
          </w14:textFill>
        </w:rPr>
      </w:pPr>
      <w:bookmarkStart w:id="159" w:name="_Toc24269"/>
      <w:bookmarkStart w:id="160" w:name="_Toc1343"/>
      <w:bookmarkStart w:id="161" w:name="_Toc29712"/>
      <w:bookmarkStart w:id="162" w:name="_Toc31605"/>
      <w:bookmarkStart w:id="163" w:name="_Toc8544"/>
      <w:bookmarkStart w:id="164" w:name="_Toc15513"/>
      <w:bookmarkStart w:id="165" w:name="_Toc30306"/>
      <w:bookmarkStart w:id="166" w:name="_（一）加分原则"/>
      <w:r>
        <w:rPr>
          <w:rFonts w:hint="eastAsia" w:ascii="楷体" w:hAnsi="楷体" w:eastAsia="楷体" w:cs="楷体"/>
          <w:color w:val="000000" w:themeColor="text1"/>
          <w:sz w:val="32"/>
          <w:szCs w:val="32"/>
          <w14:textFill>
            <w14:solidFill>
              <w14:schemeClr w14:val="tx1"/>
            </w14:solidFill>
          </w14:textFill>
        </w:rPr>
        <w:t>（一）加分原则</w:t>
      </w:r>
      <w:bookmarkEnd w:id="159"/>
      <w:bookmarkEnd w:id="160"/>
      <w:bookmarkEnd w:id="161"/>
      <w:bookmarkEnd w:id="162"/>
      <w:bookmarkEnd w:id="163"/>
      <w:bookmarkEnd w:id="164"/>
      <w:bookmarkEnd w:id="165"/>
    </w:p>
    <w:bookmarkEnd w:id="166"/>
    <w:p>
      <w:pPr>
        <w:ind w:firstLine="640" w:firstLineChars="200"/>
        <w:rPr>
          <w:rFonts w:hint="eastAsia" w:ascii="??_GB2312" w:eastAsia="Times New Roman"/>
          <w:color w:val="000000" w:themeColor="text1"/>
          <w:sz w:val="32"/>
          <w:szCs w:val="32"/>
          <w14:textFill>
            <w14:solidFill>
              <w14:schemeClr w14:val="tx1"/>
            </w14:solidFill>
          </w14:textFill>
        </w:rPr>
      </w:pPr>
      <w:bookmarkStart w:id="167" w:name="_Toc7079"/>
      <w:bookmarkStart w:id="168" w:name="_Toc10919"/>
      <w:bookmarkStart w:id="169" w:name="_Toc12207"/>
      <w:bookmarkStart w:id="170" w:name="_Toc16321"/>
      <w:bookmarkStart w:id="171" w:name="_Toc10411"/>
      <w:bookmarkStart w:id="172" w:name="_Toc1319"/>
      <w:bookmarkStart w:id="173" w:name="_Toc9001"/>
      <w:r>
        <w:rPr>
          <w:rFonts w:hint="eastAsia" w:ascii="??_GB2312" w:eastAsia="Times New Roman"/>
          <w:color w:val="000000" w:themeColor="text1"/>
          <w:sz w:val="32"/>
          <w:szCs w:val="32"/>
          <w14:textFill>
            <w14:solidFill>
              <w14:schemeClr w14:val="tx1"/>
            </w14:solidFill>
          </w14:textFill>
        </w:rPr>
        <w:t>笔试成绩=笔试卷面分+加分。</w:t>
      </w:r>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rPr>
          <w:rFonts w:ascii="楷体" w:hAnsi="楷体" w:eastAsia="楷体" w:cs="楷体"/>
          <w:color w:val="000000" w:themeColor="text1"/>
          <w:sz w:val="32"/>
          <w:szCs w:val="32"/>
          <w14:textFill>
            <w14:solidFill>
              <w14:schemeClr w14:val="tx1"/>
            </w14:solidFill>
          </w14:textFill>
        </w:rPr>
      </w:pPr>
      <w:bookmarkStart w:id="174" w:name="_（二）加分政策"/>
      <w:r>
        <w:rPr>
          <w:rFonts w:hint="eastAsia" w:ascii="楷体" w:hAnsi="楷体" w:eastAsia="楷体" w:cs="楷体"/>
          <w:color w:val="000000" w:themeColor="text1"/>
          <w:sz w:val="32"/>
          <w:szCs w:val="32"/>
          <w14:textFill>
            <w14:solidFill>
              <w14:schemeClr w14:val="tx1"/>
            </w14:solidFill>
          </w14:textFill>
        </w:rPr>
        <w:t>（二）加分政策</w:t>
      </w:r>
      <w:bookmarkEnd w:id="167"/>
      <w:bookmarkEnd w:id="168"/>
      <w:bookmarkEnd w:id="169"/>
      <w:bookmarkEnd w:id="170"/>
      <w:bookmarkEnd w:id="171"/>
      <w:bookmarkEnd w:id="172"/>
      <w:bookmarkEnd w:id="173"/>
    </w:p>
    <w:bookmarkEnd w:id="174"/>
    <w:p>
      <w:pPr>
        <w:ind w:firstLine="640" w:firstLineChars="200"/>
        <w:rPr>
          <w:rFonts w:hint="eastAsia" w:ascii="??_GB2312" w:eastAsia="Times New Roman"/>
          <w:color w:val="000000" w:themeColor="text1"/>
          <w:sz w:val="32"/>
          <w:szCs w:val="32"/>
          <w14:textFill>
            <w14:solidFill>
              <w14:schemeClr w14:val="tx1"/>
            </w14:solidFill>
          </w14:textFill>
        </w:rPr>
      </w:pPr>
      <w:bookmarkStart w:id="175" w:name="_Toc18359_WPSOffice_Level1"/>
      <w:bookmarkStart w:id="176" w:name="_Toc5722"/>
      <w:bookmarkStart w:id="177" w:name="_Toc1601"/>
      <w:bookmarkStart w:id="178" w:name="_Toc29002"/>
      <w:bookmarkStart w:id="179" w:name="_Toc25623"/>
      <w:bookmarkStart w:id="180" w:name="_Toc25367"/>
      <w:bookmarkStart w:id="181" w:name="_Toc7131"/>
      <w:bookmarkStart w:id="182" w:name="_Toc3536"/>
      <w:r>
        <w:rPr>
          <w:rFonts w:hint="eastAsia" w:ascii="??_GB2312" w:eastAsia="Times New Roman"/>
          <w:color w:val="000000" w:themeColor="text1"/>
          <w:sz w:val="32"/>
          <w:szCs w:val="32"/>
          <w14:textFill>
            <w14:solidFill>
              <w14:schemeClr w14:val="tx1"/>
            </w14:solidFill>
          </w14:textFill>
        </w:rPr>
        <w:t>符合加分政策的报考者享受笔试加分待遇：</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3" w:name="_Toc21369"/>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服务基层项目高校毕业人员</w:t>
      </w:r>
      <w:bookmarkEnd w:id="1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报考市属事业单位笔试卷面分加3分，报考区属事业单位笔试卷面分加5分；服务期限1年及以上不满2年且期满考核合格的，报考市属事业单位不加分，报考区属事业单位笔试卷面分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4" w:name="_Toc32263"/>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退役士兵（含大学生退役士兵）</w:t>
      </w:r>
      <w:bookmarkEnd w:id="18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5" w:name="_Toc28909"/>
      <w:r>
        <w:rPr>
          <w:rFonts w:ascii="楷体" w:hAnsi="楷体" w:eastAsia="楷体" w:cs="楷体"/>
          <w:b/>
          <w:bCs/>
          <w:color w:val="000000" w:themeColor="text1"/>
          <w:sz w:val="32"/>
          <w:szCs w:val="32"/>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退役优秀运动员</w:t>
      </w:r>
      <w:bookmarkEnd w:id="18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rPr>
          <w:rFonts w:ascii="楷体" w:hAnsi="楷体" w:eastAsia="楷体" w:cs="楷体"/>
          <w:color w:val="000000" w:themeColor="text1"/>
          <w:sz w:val="32"/>
          <w:szCs w:val="32"/>
          <w14:textFill>
            <w14:solidFill>
              <w14:schemeClr w14:val="tx1"/>
            </w14:solidFill>
          </w14:textFill>
        </w:rPr>
      </w:pPr>
      <w:bookmarkStart w:id="186" w:name="_Toc5497"/>
      <w:bookmarkStart w:id="187" w:name="_Toc25623_WPSOffice_Level2"/>
      <w:bookmarkStart w:id="188" w:name="_Toc31621"/>
      <w:bookmarkStart w:id="189" w:name="_Toc7835"/>
      <w:bookmarkStart w:id="190" w:name="_Toc12555"/>
      <w:bookmarkStart w:id="191" w:name="_Toc3504"/>
      <w:bookmarkStart w:id="192" w:name="_Toc19099"/>
      <w:bookmarkStart w:id="193" w:name="_Toc8388"/>
      <w:bookmarkStart w:id="194" w:name="_Toc17257"/>
      <w:bookmarkStart w:id="195" w:name="_（三）加分证明"/>
      <w:r>
        <w:rPr>
          <w:rFonts w:hint="eastAsia" w:ascii="楷体" w:hAnsi="楷体" w:eastAsia="楷体" w:cs="楷体"/>
          <w:color w:val="000000" w:themeColor="text1"/>
          <w:sz w:val="32"/>
          <w:szCs w:val="32"/>
          <w14:textFill>
            <w14:solidFill>
              <w14:schemeClr w14:val="tx1"/>
            </w14:solidFill>
          </w14:textFill>
        </w:rPr>
        <w:t>（三）加分证明</w:t>
      </w:r>
      <w:bookmarkEnd w:id="186"/>
      <w:bookmarkEnd w:id="187"/>
      <w:bookmarkEnd w:id="188"/>
      <w:bookmarkEnd w:id="189"/>
      <w:bookmarkEnd w:id="190"/>
      <w:bookmarkEnd w:id="191"/>
      <w:bookmarkEnd w:id="192"/>
      <w:bookmarkEnd w:id="193"/>
      <w:bookmarkEnd w:id="194"/>
    </w:p>
    <w:bookmarkEnd w:id="195"/>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1.基本资料：本人有效身份证正反面、户口本首页及个人页、学历（位）证；</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2.证明资料：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（3）符合加分政策的我市退役优秀运动员可持相应奖项证书前往厦门市体育局人事处开具证明材料(联系电话0592-5339323)。</w:t>
      </w:r>
    </w:p>
    <w:p>
      <w:pPr>
        <w:pStyle w:val="2"/>
        <w:rPr>
          <w:rFonts w:ascii="黑体" w:hAnsi="黑体" w:eastAsia="黑体" w:cs="黑体"/>
          <w:color w:val="000000" w:themeColor="text1"/>
          <w:sz w:val="32"/>
          <w:szCs w:val="32"/>
          <w14:textFill>
            <w14:solidFill>
              <w14:schemeClr w14:val="tx1"/>
            </w14:solidFill>
          </w14:textFill>
        </w:rPr>
      </w:pPr>
      <w:bookmarkStart w:id="196" w:name="_十、体检"/>
      <w:r>
        <w:rPr>
          <w:rFonts w:hint="eastAsia" w:ascii="黑体" w:hAnsi="黑体" w:eastAsia="黑体" w:cs="黑体"/>
          <w:color w:val="000000" w:themeColor="text1"/>
          <w:sz w:val="32"/>
          <w:szCs w:val="32"/>
          <w14:textFill>
            <w14:solidFill>
              <w14:schemeClr w14:val="tx1"/>
            </w14:solidFill>
          </w14:textFill>
        </w:rPr>
        <w:t>十、</w:t>
      </w:r>
      <w:bookmarkEnd w:id="175"/>
      <w:r>
        <w:rPr>
          <w:rFonts w:hint="eastAsia" w:ascii="黑体" w:hAnsi="黑体" w:eastAsia="黑体" w:cs="黑体"/>
          <w:color w:val="000000" w:themeColor="text1"/>
          <w:sz w:val="32"/>
          <w:szCs w:val="32"/>
          <w14:textFill>
            <w14:solidFill>
              <w14:schemeClr w14:val="tx1"/>
            </w14:solidFill>
          </w14:textFill>
        </w:rPr>
        <w:t>体检</w:t>
      </w:r>
      <w:bookmarkEnd w:id="176"/>
      <w:bookmarkEnd w:id="177"/>
      <w:bookmarkEnd w:id="178"/>
      <w:bookmarkEnd w:id="179"/>
      <w:bookmarkEnd w:id="180"/>
      <w:bookmarkEnd w:id="181"/>
      <w:bookmarkEnd w:id="182"/>
    </w:p>
    <w:bookmarkEnd w:id="196"/>
    <w:p>
      <w:pPr>
        <w:pStyle w:val="2"/>
        <w:rPr>
          <w:rFonts w:ascii="楷体" w:hAnsi="楷体" w:eastAsia="楷体" w:cs="楷体"/>
          <w:color w:val="000000" w:themeColor="text1"/>
          <w:sz w:val="32"/>
          <w:szCs w:val="32"/>
          <w14:textFill>
            <w14:solidFill>
              <w14:schemeClr w14:val="tx1"/>
            </w14:solidFill>
          </w14:textFill>
        </w:rPr>
      </w:pPr>
      <w:bookmarkStart w:id="197" w:name="_Toc27716"/>
      <w:bookmarkStart w:id="198" w:name="_Toc32234"/>
      <w:bookmarkStart w:id="199" w:name="_Toc19599"/>
      <w:bookmarkStart w:id="200" w:name="_Toc27514"/>
      <w:bookmarkStart w:id="201" w:name="_Toc27190"/>
      <w:bookmarkStart w:id="202" w:name="_Toc28695"/>
      <w:bookmarkStart w:id="203" w:name="_Toc3"/>
      <w:bookmarkStart w:id="204"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97"/>
      <w:bookmarkEnd w:id="198"/>
      <w:bookmarkEnd w:id="199"/>
      <w:bookmarkEnd w:id="200"/>
      <w:bookmarkEnd w:id="201"/>
      <w:bookmarkEnd w:id="202"/>
      <w:bookmarkEnd w:id="203"/>
    </w:p>
    <w:bookmarkEnd w:id="20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205" w:name="_Toc17027"/>
      <w:bookmarkStart w:id="206" w:name="_Toc5078"/>
      <w:bookmarkStart w:id="207" w:name="_Toc29898"/>
      <w:bookmarkStart w:id="208" w:name="_Toc28613"/>
      <w:bookmarkStart w:id="209" w:name="_Toc15471"/>
      <w:bookmarkStart w:id="210" w:name="_Toc31894"/>
      <w:bookmarkStart w:id="211" w:name="_Toc25487"/>
      <w:r>
        <w:rPr>
          <w:rFonts w:hint="eastAsia" w:ascii="楷体" w:hAnsi="楷体" w:eastAsia="楷体" w:cs="楷体"/>
          <w:color w:val="000000" w:themeColor="text1"/>
          <w:sz w:val="32"/>
          <w:szCs w:val="32"/>
          <w14:textFill>
            <w14:solidFill>
              <w14:schemeClr w14:val="tx1"/>
            </w14:solidFill>
          </w14:textFill>
        </w:rPr>
        <w:t>（二）组织体检</w:t>
      </w:r>
      <w:bookmarkEnd w:id="205"/>
      <w:bookmarkEnd w:id="206"/>
      <w:bookmarkEnd w:id="207"/>
      <w:bookmarkEnd w:id="208"/>
      <w:bookmarkEnd w:id="209"/>
      <w:bookmarkEnd w:id="210"/>
      <w:bookmarkEnd w:id="21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12" w:name="_Toc21764"/>
      <w:bookmarkStart w:id="213" w:name="_Toc14139"/>
      <w:bookmarkStart w:id="214" w:name="_Toc5442"/>
      <w:bookmarkStart w:id="215" w:name="_Toc30279"/>
      <w:bookmarkStart w:id="216" w:name="_Toc8135"/>
      <w:bookmarkStart w:id="217" w:name="_Toc12596"/>
      <w:bookmarkStart w:id="218" w:name="_Toc20421"/>
      <w:bookmarkStart w:id="219"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12"/>
      <w:bookmarkEnd w:id="213"/>
      <w:bookmarkEnd w:id="214"/>
      <w:bookmarkEnd w:id="215"/>
      <w:bookmarkEnd w:id="216"/>
      <w:bookmarkEnd w:id="217"/>
      <w:bookmarkEnd w:id="218"/>
    </w:p>
    <w:bookmarkEnd w:id="219"/>
    <w:p>
      <w:pPr>
        <w:ind w:firstLine="640" w:firstLineChars="200"/>
        <w:rPr>
          <w:rFonts w:hint="eastAsia" w:ascii="??_GB2312" w:eastAsia="Times New Roman"/>
          <w:color w:val="000000" w:themeColor="text1"/>
          <w:sz w:val="32"/>
          <w:szCs w:val="32"/>
          <w14:textFill>
            <w14:solidFill>
              <w14:schemeClr w14:val="tx1"/>
            </w14:solidFill>
          </w14:textFill>
        </w:rPr>
      </w:pPr>
      <w:bookmarkStart w:id="220" w:name="_Toc23446"/>
      <w:bookmarkStart w:id="221" w:name="_Toc16484"/>
      <w:bookmarkStart w:id="222" w:name="_Toc16762"/>
      <w:bookmarkStart w:id="223" w:name="_Toc30928"/>
      <w:bookmarkStart w:id="224" w:name="_Toc13211"/>
      <w:bookmarkStart w:id="225" w:name="_Toc29748"/>
      <w:bookmarkStart w:id="226" w:name="_Toc13607"/>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7"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20"/>
      <w:bookmarkEnd w:id="221"/>
      <w:bookmarkEnd w:id="222"/>
      <w:bookmarkEnd w:id="223"/>
      <w:bookmarkEnd w:id="224"/>
      <w:bookmarkEnd w:id="225"/>
      <w:bookmarkEnd w:id="226"/>
    </w:p>
    <w:bookmarkEnd w:id="22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8" w:name="_Toc739"/>
      <w:bookmarkStart w:id="229" w:name="_Toc11349"/>
      <w:bookmarkStart w:id="230" w:name="_Toc8084"/>
      <w:bookmarkStart w:id="231" w:name="_Toc647"/>
      <w:bookmarkStart w:id="232" w:name="_Toc4346"/>
      <w:bookmarkStart w:id="233" w:name="_Toc32448"/>
      <w:bookmarkStart w:id="234" w:name="_Toc28126"/>
      <w:r>
        <w:rPr>
          <w:rFonts w:hint="eastAsia" w:ascii="楷体" w:hAnsi="楷体" w:eastAsia="楷体" w:cs="楷体"/>
          <w:color w:val="000000" w:themeColor="text1"/>
          <w:sz w:val="32"/>
          <w:szCs w:val="32"/>
          <w14:textFill>
            <w14:solidFill>
              <w14:schemeClr w14:val="tx1"/>
            </w14:solidFill>
          </w14:textFill>
        </w:rPr>
        <w:t>（五）可延迟体检的情形</w:t>
      </w:r>
      <w:bookmarkEnd w:id="228"/>
      <w:bookmarkEnd w:id="229"/>
      <w:bookmarkEnd w:id="230"/>
      <w:bookmarkEnd w:id="231"/>
      <w:bookmarkEnd w:id="232"/>
      <w:bookmarkEnd w:id="233"/>
      <w:bookmarkEnd w:id="23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5" w:name="_Toc32366"/>
      <w:bookmarkStart w:id="236" w:name="_Toc28818"/>
      <w:bookmarkStart w:id="237" w:name="_Toc5225"/>
      <w:bookmarkStart w:id="238" w:name="_Toc2243"/>
      <w:bookmarkStart w:id="239" w:name="_Toc1565"/>
      <w:bookmarkStart w:id="240" w:name="_Toc13622"/>
      <w:bookmarkStart w:id="241" w:name="_Toc8472"/>
      <w:r>
        <w:rPr>
          <w:rFonts w:hint="eastAsia" w:ascii="黑体" w:hAnsi="黑体" w:eastAsia="黑体" w:cs="黑体"/>
          <w:color w:val="000000" w:themeColor="text1"/>
          <w:sz w:val="32"/>
          <w:szCs w:val="32"/>
          <w14:textFill>
            <w14:solidFill>
              <w14:schemeClr w14:val="tx1"/>
            </w14:solidFill>
          </w14:textFill>
        </w:rPr>
        <w:t>十一、考察</w:t>
      </w:r>
      <w:bookmarkEnd w:id="235"/>
      <w:bookmarkEnd w:id="236"/>
      <w:bookmarkEnd w:id="237"/>
      <w:bookmarkEnd w:id="238"/>
      <w:bookmarkEnd w:id="239"/>
      <w:bookmarkEnd w:id="240"/>
      <w:bookmarkEnd w:id="24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2" w:name="_Toc9126"/>
      <w:bookmarkStart w:id="243" w:name="_Toc6994"/>
      <w:bookmarkStart w:id="244" w:name="_Toc2077"/>
    </w:p>
    <w:p>
      <w:pPr>
        <w:pStyle w:val="2"/>
        <w:rPr>
          <w:rFonts w:ascii="黑体" w:hAnsi="黑体" w:eastAsia="黑体" w:cs="黑体"/>
          <w:color w:val="000000" w:themeColor="text1"/>
          <w:sz w:val="32"/>
          <w:szCs w:val="32"/>
          <w14:textFill>
            <w14:solidFill>
              <w14:schemeClr w14:val="tx1"/>
            </w14:solidFill>
          </w14:textFill>
        </w:rPr>
      </w:pPr>
      <w:bookmarkStart w:id="245" w:name="_Toc3371"/>
      <w:bookmarkStart w:id="246" w:name="_Toc26510"/>
      <w:bookmarkStart w:id="247" w:name="_Toc824"/>
      <w:bookmarkStart w:id="248" w:name="_Toc2745"/>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、聘用</w:t>
      </w:r>
      <w:bookmarkEnd w:id="242"/>
      <w:bookmarkEnd w:id="243"/>
      <w:bookmarkEnd w:id="244"/>
      <w:bookmarkEnd w:id="245"/>
      <w:bookmarkEnd w:id="246"/>
      <w:bookmarkEnd w:id="247"/>
      <w:bookmarkEnd w:id="248"/>
      <w:bookmarkStart w:id="249" w:name="_Toc5990"/>
      <w:bookmarkStart w:id="250" w:name="_Toc25406"/>
      <w:bookmarkStart w:id="251" w:name="_Toc15037"/>
    </w:p>
    <w:p>
      <w:pPr>
        <w:pStyle w:val="2"/>
        <w:rPr>
          <w:rFonts w:ascii="楷体" w:hAnsi="楷体" w:eastAsia="楷体" w:cs="楷体"/>
          <w:color w:val="000000" w:themeColor="text1"/>
          <w:sz w:val="32"/>
          <w:szCs w:val="32"/>
          <w14:textFill>
            <w14:solidFill>
              <w14:schemeClr w14:val="tx1"/>
            </w14:solidFill>
          </w14:textFill>
        </w:rPr>
      </w:pPr>
      <w:bookmarkStart w:id="252" w:name="_Toc14984"/>
      <w:bookmarkStart w:id="253" w:name="_Toc8398"/>
      <w:bookmarkStart w:id="254" w:name="_Toc1476"/>
      <w:bookmarkStart w:id="255" w:name="_Toc1443"/>
      <w:r>
        <w:rPr>
          <w:rFonts w:hint="eastAsia" w:ascii="楷体" w:hAnsi="楷体" w:eastAsia="楷体" w:cs="楷体"/>
          <w:color w:val="000000" w:themeColor="text1"/>
          <w:sz w:val="32"/>
          <w:szCs w:val="32"/>
          <w14:textFill>
            <w14:solidFill>
              <w14:schemeClr w14:val="tx1"/>
            </w14:solidFill>
          </w14:textFill>
        </w:rPr>
        <w:t>（一）手续办理</w:t>
      </w:r>
      <w:bookmarkEnd w:id="249"/>
      <w:bookmarkEnd w:id="250"/>
      <w:bookmarkEnd w:id="251"/>
      <w:bookmarkEnd w:id="252"/>
      <w:bookmarkEnd w:id="253"/>
      <w:bookmarkEnd w:id="254"/>
      <w:bookmarkEnd w:id="25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公示结果无异议，或经招聘单位</w:t>
      </w:r>
      <w:r>
        <w:rPr>
          <w:rFonts w:hint="eastAsia" w:ascii="??_GB2312" w:eastAsia="Times New Roman"/>
          <w:color w:val="000000" w:themeColor="text1"/>
          <w:sz w:val="32"/>
          <w:szCs w:val="32"/>
          <w:lang w:eastAsia="zh-CN"/>
          <w14:textFill>
            <w14:solidFill>
              <w14:schemeClr w14:val="tx1"/>
            </w14:solidFill>
          </w14:textFill>
        </w:rPr>
        <w:t>报厦门医学院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核准，可适当延长资料提交时限（延长时限原则上不超过2个月），否则视为自动放弃聘用资格。</w:t>
      </w:r>
    </w:p>
    <w:p>
      <w:pPr>
        <w:pStyle w:val="2"/>
        <w:rPr>
          <w:rFonts w:ascii="楷体" w:hAnsi="楷体" w:eastAsia="楷体" w:cs="楷体"/>
          <w:color w:val="000000" w:themeColor="text1"/>
          <w:sz w:val="32"/>
          <w:szCs w:val="32"/>
          <w14:textFill>
            <w14:solidFill>
              <w14:schemeClr w14:val="tx1"/>
            </w14:solidFill>
          </w14:textFill>
        </w:rPr>
      </w:pPr>
      <w:bookmarkStart w:id="256" w:name="_Toc17386"/>
      <w:bookmarkStart w:id="257" w:name="_Toc27370"/>
      <w:bookmarkStart w:id="258" w:name="_Toc27136"/>
      <w:bookmarkStart w:id="259" w:name="_Toc15886"/>
      <w:bookmarkStart w:id="260" w:name="_Toc1514"/>
      <w:bookmarkStart w:id="261" w:name="_Toc974"/>
      <w:bookmarkStart w:id="262" w:name="_Toc11701"/>
      <w:r>
        <w:rPr>
          <w:rFonts w:hint="eastAsia" w:ascii="楷体" w:hAnsi="楷体" w:eastAsia="楷体" w:cs="楷体"/>
          <w:color w:val="000000" w:themeColor="text1"/>
          <w:sz w:val="32"/>
          <w:szCs w:val="32"/>
          <w14:textFill>
            <w14:solidFill>
              <w14:schemeClr w14:val="tx1"/>
            </w14:solidFill>
          </w14:textFill>
        </w:rPr>
        <w:t>（二）岗位聘任</w:t>
      </w:r>
      <w:bookmarkEnd w:id="256"/>
      <w:bookmarkEnd w:id="257"/>
      <w:bookmarkEnd w:id="258"/>
      <w:bookmarkEnd w:id="259"/>
      <w:bookmarkEnd w:id="260"/>
      <w:bookmarkEnd w:id="261"/>
      <w:bookmarkEnd w:id="262"/>
    </w:p>
    <w:p>
      <w:pPr>
        <w:ind w:firstLine="640" w:firstLineChars="200"/>
        <w:rPr>
          <w:rFonts w:hint="eastAsia" w:ascii="??_GB2312" w:eastAsia="Times New Roman"/>
          <w:color w:val="000000" w:themeColor="text1"/>
          <w:sz w:val="32"/>
          <w:szCs w:val="32"/>
          <w14:textFill>
            <w14:solidFill>
              <w14:schemeClr w14:val="tx1"/>
            </w14:solidFill>
          </w14:textFill>
        </w:rPr>
      </w:pPr>
      <w:bookmarkStart w:id="263" w:name="_Toc7768"/>
      <w:bookmarkStart w:id="264" w:name="_Toc18947"/>
      <w:bookmarkStart w:id="265" w:name="_Toc15865"/>
      <w:bookmarkStart w:id="266" w:name="_Toc5335"/>
      <w:bookmarkStart w:id="267" w:name="_Toc30319"/>
      <w:bookmarkStart w:id="268" w:name="_Toc11026"/>
      <w:bookmarkStart w:id="269" w:name="_Toc5705"/>
      <w:r>
        <w:rPr>
          <w:rFonts w:hint="eastAsia" w:ascii="??_GB2312" w:eastAsia="Times New Roman"/>
          <w:color w:val="000000" w:themeColor="text1"/>
          <w:sz w:val="32"/>
          <w:szCs w:val="32"/>
          <w14:textFill>
            <w14:solidFill>
              <w14:schemeClr w14:val="tx1"/>
            </w14:solidFill>
          </w14:textFill>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、其他事项</w:t>
      </w:r>
      <w:bookmarkEnd w:id="263"/>
      <w:bookmarkEnd w:id="264"/>
      <w:bookmarkEnd w:id="265"/>
      <w:bookmarkEnd w:id="266"/>
      <w:bookmarkEnd w:id="267"/>
      <w:bookmarkEnd w:id="268"/>
      <w:bookmarkEnd w:id="269"/>
      <w:bookmarkStart w:id="270" w:name="_Toc28131"/>
      <w:bookmarkStart w:id="271" w:name="_Toc29849"/>
      <w:bookmarkStart w:id="272" w:name="_Toc20963"/>
    </w:p>
    <w:p>
      <w:pPr>
        <w:pStyle w:val="2"/>
        <w:rPr>
          <w:rFonts w:ascii="楷体" w:hAnsi="楷体" w:eastAsia="楷体" w:cs="楷体"/>
          <w:color w:val="000000" w:themeColor="text1"/>
          <w:sz w:val="32"/>
          <w:szCs w:val="32"/>
          <w14:textFill>
            <w14:solidFill>
              <w14:schemeClr w14:val="tx1"/>
            </w14:solidFill>
          </w14:textFill>
        </w:rPr>
      </w:pPr>
      <w:bookmarkStart w:id="273" w:name="_Toc12131"/>
      <w:bookmarkStart w:id="274" w:name="_Toc7430"/>
      <w:bookmarkStart w:id="275" w:name="_Toc5470"/>
      <w:bookmarkStart w:id="276" w:name="_Toc10955"/>
      <w:r>
        <w:rPr>
          <w:rFonts w:hint="eastAsia" w:ascii="楷体" w:hAnsi="楷体" w:eastAsia="楷体" w:cs="楷体"/>
          <w:color w:val="000000" w:themeColor="text1"/>
          <w:sz w:val="32"/>
          <w:szCs w:val="32"/>
          <w14:textFill>
            <w14:solidFill>
              <w14:schemeClr w14:val="tx1"/>
            </w14:solidFill>
          </w14:textFill>
        </w:rPr>
        <w:t>（一）中共党员</w:t>
      </w:r>
      <w:bookmarkEnd w:id="270"/>
      <w:bookmarkEnd w:id="271"/>
      <w:bookmarkEnd w:id="272"/>
      <w:bookmarkEnd w:id="273"/>
      <w:bookmarkEnd w:id="274"/>
      <w:bookmarkEnd w:id="275"/>
      <w:bookmarkEnd w:id="276"/>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77" w:name="_Toc5176"/>
      <w:bookmarkStart w:id="278" w:name="_Toc29092"/>
      <w:bookmarkStart w:id="279" w:name="_Toc1658"/>
      <w:bookmarkStart w:id="280" w:name="_Toc26996"/>
      <w:bookmarkStart w:id="281" w:name="_Toc31167"/>
      <w:bookmarkStart w:id="282" w:name="_Toc15299"/>
      <w:bookmarkStart w:id="283" w:name="_Toc1238"/>
      <w:r>
        <w:rPr>
          <w:rFonts w:hint="eastAsia" w:ascii="楷体" w:hAnsi="楷体" w:eastAsia="楷体" w:cs="楷体"/>
          <w:color w:val="000000" w:themeColor="text1"/>
          <w:sz w:val="32"/>
          <w:szCs w:val="32"/>
          <w14:textFill>
            <w14:solidFill>
              <w14:schemeClr w14:val="tx1"/>
            </w14:solidFill>
          </w14:textFill>
        </w:rPr>
        <w:t>（二）职称</w:t>
      </w:r>
      <w:bookmarkEnd w:id="277"/>
      <w:bookmarkEnd w:id="278"/>
      <w:bookmarkEnd w:id="279"/>
      <w:bookmarkEnd w:id="280"/>
      <w:bookmarkEnd w:id="281"/>
      <w:bookmarkEnd w:id="282"/>
      <w:bookmarkEnd w:id="2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任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2021年毕业的医学专业“四证合一”应届研究生，在符合报考岗位其他资格条件的前提下，其医师资格证书可于2021年12月31日前随符合岗位报考条件的相应学历（位）证书一并提供。</w:t>
      </w:r>
      <w:bookmarkStart w:id="284" w:name="_Toc21039"/>
      <w:bookmarkStart w:id="285" w:name="_Toc19212"/>
      <w:bookmarkStart w:id="286" w:name="_Toc21952"/>
    </w:p>
    <w:p>
      <w:pPr>
        <w:pStyle w:val="2"/>
        <w:rPr>
          <w:rFonts w:ascii="楷体" w:hAnsi="楷体" w:eastAsia="楷体" w:cs="楷体"/>
          <w:color w:val="000000" w:themeColor="text1"/>
          <w:sz w:val="32"/>
          <w:szCs w:val="32"/>
          <w14:textFill>
            <w14:solidFill>
              <w14:schemeClr w14:val="tx1"/>
            </w14:solidFill>
          </w14:textFill>
        </w:rPr>
      </w:pPr>
      <w:bookmarkStart w:id="287" w:name="_Toc16150"/>
      <w:bookmarkStart w:id="288" w:name="_Toc4426"/>
      <w:bookmarkStart w:id="289" w:name="_Toc16551"/>
      <w:bookmarkStart w:id="290" w:name="_Toc23989"/>
      <w:r>
        <w:rPr>
          <w:rFonts w:hint="eastAsia" w:ascii="楷体" w:hAnsi="楷体" w:eastAsia="楷体" w:cs="楷体"/>
          <w:color w:val="000000" w:themeColor="text1"/>
          <w:sz w:val="32"/>
          <w:szCs w:val="32"/>
          <w14:textFill>
            <w14:solidFill>
              <w14:schemeClr w14:val="tx1"/>
            </w14:solidFill>
          </w14:textFill>
        </w:rPr>
        <w:t>（三）规范化培训</w:t>
      </w:r>
      <w:bookmarkEnd w:id="284"/>
      <w:bookmarkEnd w:id="285"/>
      <w:bookmarkEnd w:id="286"/>
      <w:bookmarkEnd w:id="287"/>
      <w:bookmarkEnd w:id="288"/>
      <w:bookmarkEnd w:id="289"/>
      <w:bookmarkEnd w:id="290"/>
    </w:p>
    <w:p>
      <w:pPr>
        <w:ind w:firstLine="640" w:firstLineChars="200"/>
        <w:rPr>
          <w:rFonts w:hint="eastAsia" w:ascii="??_GB2312" w:eastAsia="Times New Roman"/>
          <w:color w:val="000000" w:themeColor="text1"/>
          <w:sz w:val="32"/>
          <w:szCs w:val="32"/>
          <w14:textFill>
            <w14:solidFill>
              <w14:schemeClr w14:val="tx1"/>
            </w14:solidFill>
          </w14:textFill>
        </w:rPr>
      </w:pPr>
      <w:bookmarkStart w:id="291" w:name="_Toc18949"/>
      <w:bookmarkStart w:id="292" w:name="_Toc14906"/>
      <w:bookmarkStart w:id="293" w:name="_Toc20667"/>
      <w:bookmarkStart w:id="294" w:name="_Toc4062"/>
      <w:bookmarkStart w:id="295" w:name="_Toc9207"/>
      <w:bookmarkStart w:id="296" w:name="_Toc4591"/>
      <w:bookmarkStart w:id="297" w:name="_Toc2176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2021年毕业的医学专业“四证合一”应届研究生，在符合报考岗位其他资格条件的前提下，其住院医师规范化培训合格证书可于2021年12月31日前随符合岗位报考条件的相应学历（位）证书一并提供。</w:t>
      </w:r>
    </w:p>
    <w:p>
      <w:pPr>
        <w:pStyle w:val="2"/>
        <w:rPr>
          <w:rFonts w:ascii="楷体" w:hAnsi="楷体" w:eastAsia="楷体" w:cs="楷体"/>
          <w:color w:val="000000" w:themeColor="text1"/>
          <w:sz w:val="32"/>
          <w:szCs w:val="32"/>
          <w14:textFill>
            <w14:solidFill>
              <w14:schemeClr w14:val="tx1"/>
            </w14:solidFill>
          </w14:textFill>
        </w:rPr>
      </w:pPr>
      <w:bookmarkStart w:id="298" w:name="_（四）应届高校毕业生"/>
      <w:r>
        <w:rPr>
          <w:rFonts w:hint="eastAsia" w:ascii="楷体" w:hAnsi="楷体" w:eastAsia="楷体" w:cs="楷体"/>
          <w:color w:val="000000" w:themeColor="text1"/>
          <w:sz w:val="32"/>
          <w:szCs w:val="32"/>
          <w14:textFill>
            <w14:solidFill>
              <w14:schemeClr w14:val="tx1"/>
            </w14:solidFill>
          </w14:textFill>
        </w:rPr>
        <w:t>（四）应届高校毕业生</w:t>
      </w:r>
      <w:bookmarkEnd w:id="291"/>
      <w:bookmarkEnd w:id="292"/>
      <w:bookmarkEnd w:id="293"/>
      <w:bookmarkEnd w:id="294"/>
      <w:bookmarkEnd w:id="295"/>
      <w:bookmarkEnd w:id="296"/>
      <w:bookmarkEnd w:id="297"/>
    </w:p>
    <w:bookmarkEnd w:id="298"/>
    <w:p>
      <w:pPr>
        <w:ind w:firstLine="640" w:firstLineChars="200"/>
        <w:rPr>
          <w:rFonts w:hint="eastAsia" w:ascii="??_GB2312" w:eastAsia="Times New Roman"/>
          <w:color w:val="000000" w:themeColor="text1"/>
          <w:sz w:val="32"/>
          <w:szCs w:val="32"/>
          <w14:textFill>
            <w14:solidFill>
              <w14:schemeClr w14:val="tx1"/>
            </w14:solidFill>
          </w14:textFill>
        </w:rPr>
      </w:pPr>
      <w:bookmarkStart w:id="299" w:name="_Toc16363"/>
      <w:bookmarkStart w:id="300" w:name="_Toc21903"/>
      <w:bookmarkStart w:id="301" w:name="_Toc29449"/>
      <w:bookmarkStart w:id="302" w:name="_Toc20713"/>
      <w:bookmarkStart w:id="303" w:name="_Toc30902"/>
      <w:bookmarkStart w:id="304" w:name="_Toc26030"/>
      <w:r>
        <w:rPr>
          <w:rFonts w:hint="eastAsia" w:ascii="??_GB2312" w:eastAsia="Times New Roman"/>
          <w:color w:val="000000" w:themeColor="text1"/>
          <w:sz w:val="32"/>
          <w:szCs w:val="32"/>
          <w14:textFill>
            <w14:solidFill>
              <w14:schemeClr w14:val="tx1"/>
            </w14:solidFill>
          </w14:textFill>
        </w:rPr>
        <w:t>参照国家、福建省有关文件政策，本次招聘岗位资格条件中涉及面向应届高校毕业生的，包含以下对象：</w:t>
      </w:r>
    </w:p>
    <w:bookmarkEnd w:id="299"/>
    <w:bookmarkEnd w:id="300"/>
    <w:bookmarkEnd w:id="301"/>
    <w:bookmarkEnd w:id="302"/>
    <w:bookmarkEnd w:id="303"/>
    <w:bookmarkEnd w:id="304"/>
    <w:p>
      <w:pPr>
        <w:ind w:firstLine="640" w:firstLineChars="200"/>
        <w:rPr>
          <w:rFonts w:hint="eastAsia" w:ascii="??_GB2312" w:eastAsia="Times New Roman"/>
          <w:color w:val="000000" w:themeColor="text1"/>
          <w:sz w:val="32"/>
          <w:szCs w:val="32"/>
          <w14:textFill>
            <w14:solidFill>
              <w14:schemeClr w14:val="tx1"/>
            </w14:solidFill>
          </w14:textFill>
        </w:rPr>
      </w:pPr>
      <w:bookmarkStart w:id="305" w:name="_Toc17835_WPSOffice_Level2"/>
      <w:bookmarkStart w:id="306" w:name="_Toc3069"/>
      <w:bookmarkStart w:id="307" w:name="_Toc5428"/>
      <w:bookmarkStart w:id="308" w:name="_Toc14931"/>
      <w:bookmarkStart w:id="309" w:name="_Toc18970"/>
      <w:bookmarkStart w:id="310" w:name="_Toc7516"/>
      <w:bookmarkStart w:id="311" w:name="_Toc1147"/>
      <w:bookmarkStart w:id="312" w:name="_Toc14505"/>
      <w:bookmarkStart w:id="313" w:name="_Toc11834"/>
      <w:r>
        <w:rPr>
          <w:rFonts w:hint="eastAsia" w:ascii="??_GB2312" w:eastAsia="Times New Roman"/>
          <w:color w:val="000000" w:themeColor="text1"/>
          <w:sz w:val="32"/>
          <w:szCs w:val="32"/>
          <w14:textFill>
            <w14:solidFill>
              <w14:schemeClr w14:val="tx1"/>
            </w14:solidFill>
          </w14:textFill>
        </w:rPr>
        <w:t>1.2021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2.截至报名截止日，尚未落实工作单位的2019届、2020届毕业生。2019届、2020届毕业生按照上述2021届毕业生进行类推界定。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3.参加基层服务项目前无工作经历、服务期满且考核合格后2年内的高校毕业生。“参加基层服务项目”的界定见本简章第九章“笔试加分”第（二）款第1点“服务基层项目高校毕业人员”。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持境外学历（位）报考的应届高校毕业生参照上述标准界定。</w:t>
      </w:r>
    </w:p>
    <w:p>
      <w:pPr>
        <w:pStyle w:val="2"/>
        <w:rPr>
          <w:rFonts w:ascii="楷体" w:hAnsi="楷体" w:eastAsia="楷体" w:cs="楷体"/>
          <w:color w:val="000000" w:themeColor="text1"/>
          <w:sz w:val="32"/>
          <w:szCs w:val="32"/>
          <w14:textFill>
            <w14:solidFill>
              <w14:schemeClr w14:val="tx1"/>
            </w14:solidFill>
          </w14:textFill>
        </w:rPr>
      </w:pPr>
      <w:bookmarkStart w:id="314" w:name="_（五）生源"/>
      <w:r>
        <w:rPr>
          <w:rFonts w:hint="eastAsia" w:ascii="楷体" w:hAnsi="楷体" w:eastAsia="楷体" w:cs="楷体"/>
          <w:color w:val="000000" w:themeColor="text1"/>
          <w:sz w:val="32"/>
          <w:szCs w:val="32"/>
          <w14:textFill>
            <w14:solidFill>
              <w14:schemeClr w14:val="tx1"/>
            </w14:solidFill>
          </w14:textFill>
        </w:rPr>
        <w:t>（五）</w:t>
      </w:r>
      <w:bookmarkEnd w:id="305"/>
      <w:r>
        <w:rPr>
          <w:rFonts w:hint="eastAsia" w:ascii="楷体" w:hAnsi="楷体" w:eastAsia="楷体" w:cs="楷体"/>
          <w:color w:val="000000" w:themeColor="text1"/>
          <w:sz w:val="32"/>
          <w:szCs w:val="32"/>
          <w14:textFill>
            <w14:solidFill>
              <w14:schemeClr w14:val="tx1"/>
            </w14:solidFill>
          </w14:textFill>
        </w:rPr>
        <w:t>生源</w:t>
      </w:r>
      <w:bookmarkEnd w:id="306"/>
      <w:bookmarkEnd w:id="307"/>
      <w:bookmarkEnd w:id="308"/>
      <w:bookmarkEnd w:id="309"/>
      <w:bookmarkEnd w:id="310"/>
      <w:bookmarkEnd w:id="311"/>
    </w:p>
    <w:bookmarkEnd w:id="314"/>
    <w:p>
      <w:pPr>
        <w:ind w:firstLine="640" w:firstLineChars="200"/>
        <w:rPr>
          <w:rFonts w:hint="eastAsia" w:ascii="??_GB2312" w:eastAsia="Times New Roman"/>
          <w:color w:val="000000" w:themeColor="text1"/>
          <w:sz w:val="32"/>
          <w:szCs w:val="32"/>
          <w14:textFill>
            <w14:solidFill>
              <w14:schemeClr w14:val="tx1"/>
            </w14:solidFill>
          </w14:textFill>
        </w:rPr>
      </w:pPr>
      <w:bookmarkStart w:id="315" w:name="_Toc26322"/>
      <w:bookmarkStart w:id="316" w:name="_Toc127"/>
      <w:bookmarkStart w:id="317" w:name="_Toc9297"/>
      <w:bookmarkStart w:id="318" w:name="_Toc17719"/>
      <w:bookmarkStart w:id="319" w:name="_Toc7571"/>
      <w:bookmarkStart w:id="320" w:name="_Toc25702"/>
      <w:bookmarkStart w:id="321" w:name="_Toc29806"/>
      <w:bookmarkStart w:id="322" w:name="_Toc6750"/>
      <w:bookmarkStart w:id="323" w:name="_Toc17019"/>
      <w:bookmarkStart w:id="324" w:name="_Toc2690"/>
      <w:bookmarkStart w:id="325" w:name="_Toc20567"/>
      <w:bookmarkStart w:id="326" w:name="_Toc26251"/>
      <w:bookmarkStart w:id="327" w:name="_Toc24201"/>
      <w:r>
        <w:rPr>
          <w:rFonts w:hint="eastAsia" w:ascii="??_GB2312" w:eastAsia="Times New Roman"/>
          <w:color w:val="000000" w:themeColor="text1"/>
          <w:sz w:val="32"/>
          <w:szCs w:val="32"/>
          <w14:textFill>
            <w14:solidFill>
              <w14:schemeClr w14:val="tx1"/>
            </w14:solidFill>
          </w14:textFill>
        </w:rPr>
        <w:t>厦门生源毕业生指入学前（指考入取得第一个全日制普通教育学历的院校前，下同）户籍和学籍在厦门市的全日制普通教育毕业生。符合以下条件之一的普通教育全日制毕业生可参照厦门生源：</w:t>
      </w:r>
      <w:bookmarkEnd w:id="315"/>
      <w:bookmarkEnd w:id="316"/>
      <w:bookmarkEnd w:id="317"/>
      <w:bookmarkEnd w:id="318"/>
      <w:bookmarkEnd w:id="319"/>
      <w:bookmarkEnd w:id="320"/>
      <w:bookmarkEnd w:id="321"/>
    </w:p>
    <w:p>
      <w:pPr>
        <w:ind w:firstLine="640" w:firstLineChars="200"/>
        <w:rPr>
          <w:rFonts w:hint="eastAsia" w:ascii="??_GB2312" w:eastAsia="Times New Roman"/>
          <w:color w:val="000000" w:themeColor="text1"/>
          <w:sz w:val="32"/>
          <w:szCs w:val="32"/>
          <w14:textFill>
            <w14:solidFill>
              <w14:schemeClr w14:val="tx1"/>
            </w14:solidFill>
          </w14:textFill>
        </w:rPr>
      </w:pPr>
      <w:bookmarkStart w:id="328" w:name="_Toc1886"/>
      <w:bookmarkStart w:id="329" w:name="_Toc4034"/>
      <w:bookmarkStart w:id="330" w:name="_Toc12000"/>
      <w:bookmarkStart w:id="331" w:name="_Toc11122"/>
      <w:bookmarkStart w:id="332" w:name="_Toc22909"/>
      <w:bookmarkStart w:id="333" w:name="_Toc12136"/>
      <w:bookmarkStart w:id="334" w:name="_Toc26848"/>
      <w:r>
        <w:rPr>
          <w:rFonts w:hint="eastAsia" w:ascii="??_GB2312" w:eastAsia="Times New Roman"/>
          <w:color w:val="000000" w:themeColor="text1"/>
          <w:sz w:val="32"/>
          <w:szCs w:val="32"/>
          <w14:textFill>
            <w14:solidFill>
              <w14:schemeClr w14:val="tx1"/>
            </w14:solidFill>
          </w14:textFill>
        </w:rPr>
        <w:t>1.入学前户籍在厦门市但学籍不在厦门市的普通教育全日制毕业生；</w:t>
      </w:r>
      <w:bookmarkEnd w:id="328"/>
      <w:bookmarkEnd w:id="329"/>
      <w:bookmarkEnd w:id="330"/>
      <w:bookmarkEnd w:id="331"/>
      <w:bookmarkEnd w:id="332"/>
      <w:bookmarkEnd w:id="333"/>
      <w:bookmarkEnd w:id="334"/>
    </w:p>
    <w:p>
      <w:pPr>
        <w:ind w:firstLine="640" w:firstLineChars="200"/>
        <w:rPr>
          <w:rFonts w:hint="eastAsia" w:ascii="??_GB2312" w:eastAsia="Times New Roman"/>
          <w:color w:val="000000" w:themeColor="text1"/>
          <w:sz w:val="32"/>
          <w:szCs w:val="32"/>
          <w14:textFill>
            <w14:solidFill>
              <w14:schemeClr w14:val="tx1"/>
            </w14:solidFill>
          </w14:textFill>
        </w:rPr>
      </w:pPr>
      <w:bookmarkStart w:id="335" w:name="_Toc13518"/>
      <w:bookmarkStart w:id="336" w:name="_Toc29287"/>
      <w:bookmarkStart w:id="337" w:name="_Toc16832"/>
      <w:bookmarkStart w:id="338" w:name="_Toc15903"/>
      <w:bookmarkStart w:id="339" w:name="_Toc26076"/>
      <w:bookmarkStart w:id="340" w:name="_Toc27435"/>
      <w:bookmarkStart w:id="341" w:name="_Toc13042"/>
      <w:r>
        <w:rPr>
          <w:rFonts w:hint="eastAsia" w:ascii="??_GB2312" w:eastAsia="Times New Roman"/>
          <w:color w:val="000000" w:themeColor="text1"/>
          <w:sz w:val="32"/>
          <w:szCs w:val="32"/>
          <w14:textFill>
            <w14:solidFill>
              <w14:schemeClr w14:val="tx1"/>
            </w14:solidFill>
          </w14:textFill>
        </w:rPr>
        <w:t>2.入学前户籍和学籍虽不在厦门市，但在本次公开招聘报名截止日前父母或配偶有一方户籍在厦门市的普通教育全日制2021届毕业生；</w:t>
      </w:r>
      <w:bookmarkEnd w:id="335"/>
      <w:bookmarkEnd w:id="336"/>
      <w:bookmarkEnd w:id="337"/>
      <w:bookmarkEnd w:id="338"/>
      <w:bookmarkEnd w:id="339"/>
      <w:bookmarkEnd w:id="340"/>
      <w:bookmarkEnd w:id="341"/>
    </w:p>
    <w:p>
      <w:pPr>
        <w:ind w:firstLine="640" w:firstLineChars="200"/>
        <w:rPr>
          <w:rFonts w:hint="eastAsia" w:ascii="??_GB2312" w:eastAsia="Times New Roman"/>
          <w:color w:val="000000" w:themeColor="text1"/>
          <w:sz w:val="32"/>
          <w:szCs w:val="32"/>
          <w14:textFill>
            <w14:solidFill>
              <w14:schemeClr w14:val="tx1"/>
            </w14:solidFill>
          </w14:textFill>
        </w:rPr>
      </w:pPr>
      <w:bookmarkStart w:id="342" w:name="_Toc27637"/>
      <w:bookmarkStart w:id="343" w:name="_Toc21929"/>
      <w:bookmarkStart w:id="344" w:name="_Toc10722"/>
      <w:bookmarkStart w:id="345" w:name="_Toc29894"/>
      <w:bookmarkStart w:id="346" w:name="_Toc8311"/>
      <w:bookmarkStart w:id="347" w:name="_Toc726"/>
      <w:bookmarkStart w:id="348" w:name="_Toc19098"/>
      <w:r>
        <w:rPr>
          <w:rFonts w:hint="eastAsia" w:ascii="??_GB2312" w:eastAsia="Times New Roman"/>
          <w:color w:val="000000" w:themeColor="text1"/>
          <w:sz w:val="32"/>
          <w:szCs w:val="32"/>
          <w14:textFill>
            <w14:solidFill>
              <w14:schemeClr w14:val="tx1"/>
            </w14:solidFill>
          </w14:textFill>
        </w:rPr>
        <w:t>3.根据厦府办〔2011〕229号文规定来我市就读普通高中且将户籍迁入我市的外来学生，普通高中毕业后从我市考入普通高等院校的全日制普通教育毕业生。</w:t>
      </w:r>
      <w:bookmarkEnd w:id="342"/>
      <w:bookmarkEnd w:id="343"/>
      <w:bookmarkEnd w:id="344"/>
      <w:bookmarkEnd w:id="345"/>
      <w:bookmarkEnd w:id="346"/>
      <w:bookmarkEnd w:id="347"/>
      <w:bookmarkEnd w:id="348"/>
    </w:p>
    <w:p>
      <w:pPr>
        <w:ind w:firstLine="640" w:firstLineChars="200"/>
        <w:rPr>
          <w:rFonts w:hint="eastAsia" w:ascii="??_GB2312" w:eastAsia="Times New Roman"/>
          <w:color w:val="000000" w:themeColor="text1"/>
          <w:sz w:val="32"/>
          <w:szCs w:val="32"/>
          <w14:textFill>
            <w14:solidFill>
              <w14:schemeClr w14:val="tx1"/>
            </w14:solidFill>
          </w14:textFill>
        </w:rPr>
      </w:pPr>
      <w:bookmarkStart w:id="349" w:name="_Toc29929"/>
      <w:bookmarkStart w:id="350" w:name="_Toc29471"/>
      <w:bookmarkStart w:id="351" w:name="_Toc21036"/>
      <w:bookmarkStart w:id="352" w:name="_Toc18194"/>
      <w:bookmarkStart w:id="353" w:name="_Toc526"/>
      <w:bookmarkStart w:id="354" w:name="_Toc10696"/>
      <w:bookmarkStart w:id="355" w:name="_Toc7765"/>
      <w:r>
        <w:rPr>
          <w:rFonts w:hint="eastAsia" w:ascii="??_GB2312" w:eastAsia="Times New Roman"/>
          <w:color w:val="000000" w:themeColor="text1"/>
          <w:sz w:val="32"/>
          <w:szCs w:val="32"/>
          <w14:textFill>
            <w14:solidFill>
              <w14:schemeClr w14:val="tx1"/>
            </w14:solidFill>
          </w14:textFill>
        </w:rPr>
        <w:t>福建生源类推界定。</w:t>
      </w:r>
      <w:bookmarkEnd w:id="349"/>
      <w:bookmarkEnd w:id="350"/>
      <w:bookmarkEnd w:id="351"/>
      <w:bookmarkEnd w:id="352"/>
      <w:bookmarkEnd w:id="353"/>
      <w:bookmarkEnd w:id="354"/>
      <w:bookmarkEnd w:id="355"/>
    </w:p>
    <w:p>
      <w:pPr>
        <w:pStyle w:val="2"/>
        <w:rPr>
          <w:rFonts w:ascii="楷体" w:hAnsi="楷体" w:eastAsia="楷体" w:cs="楷体"/>
          <w:color w:val="000000" w:themeColor="text1"/>
          <w:sz w:val="32"/>
          <w:szCs w:val="32"/>
          <w14:textFill>
            <w14:solidFill>
              <w14:schemeClr w14:val="tx1"/>
            </w14:solidFill>
          </w14:textFill>
        </w:rPr>
      </w:pPr>
      <w:bookmarkStart w:id="356" w:name="_（六）港澳台人员"/>
      <w:r>
        <w:rPr>
          <w:rFonts w:hint="eastAsia" w:ascii="楷体" w:hAnsi="楷体" w:eastAsia="楷体" w:cs="楷体"/>
          <w:color w:val="000000" w:themeColor="text1"/>
          <w:sz w:val="32"/>
          <w:szCs w:val="32"/>
          <w14:textFill>
            <w14:solidFill>
              <w14:schemeClr w14:val="tx1"/>
            </w14:solidFill>
          </w14:textFill>
        </w:rPr>
        <w:t>（六）港澳台人员</w:t>
      </w:r>
      <w:bookmarkEnd w:id="312"/>
      <w:bookmarkEnd w:id="313"/>
      <w:bookmarkEnd w:id="322"/>
      <w:bookmarkEnd w:id="323"/>
      <w:bookmarkEnd w:id="324"/>
      <w:bookmarkEnd w:id="325"/>
      <w:bookmarkEnd w:id="326"/>
      <w:bookmarkEnd w:id="327"/>
    </w:p>
    <w:bookmarkEnd w:id="356"/>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57" w:name="_Toc1416"/>
      <w:r>
        <w:rPr>
          <w:rFonts w:hint="eastAsia" w:ascii="楷体" w:hAnsi="楷体" w:eastAsia="楷体" w:cs="楷体"/>
          <w:color w:val="000000" w:themeColor="text1"/>
          <w:sz w:val="32"/>
          <w:szCs w:val="32"/>
          <w14:textFill>
            <w14:solidFill>
              <w14:schemeClr w14:val="tx1"/>
            </w14:solidFill>
          </w14:textFill>
        </w:rPr>
        <w:t>（七）技工院校毕业生</w:t>
      </w:r>
      <w:bookmarkEnd w:id="35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58" w:name="_Toc29924"/>
      <w:bookmarkStart w:id="359" w:name="_Toc2460"/>
      <w:bookmarkStart w:id="360" w:name="_Toc2095"/>
      <w:bookmarkStart w:id="361" w:name="_Toc4655"/>
      <w:bookmarkStart w:id="362" w:name="_Toc31670"/>
      <w:bookmarkStart w:id="363" w:name="_Toc17496"/>
      <w:bookmarkStart w:id="364" w:name="_Toc16887"/>
      <w:r>
        <w:rPr>
          <w:rFonts w:hint="eastAsia" w:ascii="黑体" w:hAnsi="黑体" w:eastAsia="黑体" w:cs="黑体"/>
          <w:color w:val="000000" w:themeColor="text1"/>
          <w:sz w:val="32"/>
          <w:szCs w:val="32"/>
          <w14:textFill>
            <w14:solidFill>
              <w14:schemeClr w14:val="tx1"/>
            </w14:solidFill>
          </w14:textFill>
        </w:rPr>
        <w:t>十五、疫情防控要求</w:t>
      </w:r>
      <w:bookmarkEnd w:id="358"/>
      <w:bookmarkEnd w:id="359"/>
      <w:bookmarkEnd w:id="360"/>
      <w:bookmarkEnd w:id="361"/>
      <w:bookmarkEnd w:id="362"/>
      <w:bookmarkEnd w:id="363"/>
      <w:bookmarkEnd w:id="36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14:textFill>
            <w14:solidFill>
              <w14:schemeClr w14:val="tx1"/>
            </w14:solidFill>
          </w14:textFill>
        </w:rPr>
      </w:pPr>
    </w:p>
    <w:p>
      <w:pPr>
        <w:rPr>
          <w:rFonts w:hint="eastAsia" w:ascii="??_GB2312" w:eastAsia="Times New Roman"/>
          <w:color w:val="000000" w:themeColor="text1"/>
          <w:sz w:val="32"/>
          <w:szCs w:val="32"/>
          <w14:textFill>
            <w14:solidFill>
              <w14:schemeClr w14:val="tx1"/>
            </w14:solidFill>
          </w14:textFill>
        </w:rPr>
      </w:pPr>
      <w:r>
        <w:rPr>
          <w:rFonts w:ascii="??_GB2312"/>
          <w:color w:val="000000" w:themeColor="text1"/>
          <w:sz w:val="32"/>
          <w:szCs w:val="32"/>
          <w14:textFill>
            <w14:solidFill>
              <w14:schemeClr w14:val="tx1"/>
            </w14:solidFill>
          </w14:textFill>
        </w:rPr>
        <w:t xml:space="preserve">    </w:t>
      </w:r>
      <w:r>
        <w:rPr>
          <w:rFonts w:hint="eastAsia" w:ascii="??_GB2312" w:eastAsia="Times New Roman"/>
          <w:color w:val="000000" w:themeColor="text1"/>
          <w:sz w:val="32"/>
          <w:szCs w:val="32"/>
          <w14:textFill>
            <w14:solidFill>
              <w14:schemeClr w14:val="tx1"/>
            </w14:solidFill>
          </w14:textFill>
        </w:rPr>
        <w:t>附件：《2021届高校毕业生报考承诺书》</w:t>
      </w: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AB93EDB"/>
    <w:rsid w:val="2D146264"/>
    <w:rsid w:val="2D3D3232"/>
    <w:rsid w:val="2D991E1E"/>
    <w:rsid w:val="311E304C"/>
    <w:rsid w:val="32B440F3"/>
    <w:rsid w:val="330F1FC1"/>
    <w:rsid w:val="34171B12"/>
    <w:rsid w:val="36265082"/>
    <w:rsid w:val="36433543"/>
    <w:rsid w:val="39F33EB2"/>
    <w:rsid w:val="3CA6751B"/>
    <w:rsid w:val="3CAA7142"/>
    <w:rsid w:val="3D5926B2"/>
    <w:rsid w:val="3E2B03B9"/>
    <w:rsid w:val="40983891"/>
    <w:rsid w:val="45830A4E"/>
    <w:rsid w:val="45C62D7A"/>
    <w:rsid w:val="47240519"/>
    <w:rsid w:val="480A64CC"/>
    <w:rsid w:val="486311F7"/>
    <w:rsid w:val="4A671659"/>
    <w:rsid w:val="4BE80A9E"/>
    <w:rsid w:val="4C102625"/>
    <w:rsid w:val="4D667BAF"/>
    <w:rsid w:val="4DA521E5"/>
    <w:rsid w:val="4DB86B62"/>
    <w:rsid w:val="4EC918D2"/>
    <w:rsid w:val="52AF3FC8"/>
    <w:rsid w:val="53564D9D"/>
    <w:rsid w:val="54EC7875"/>
    <w:rsid w:val="54FD31CF"/>
    <w:rsid w:val="576F2D86"/>
    <w:rsid w:val="591150F1"/>
    <w:rsid w:val="5A6B3694"/>
    <w:rsid w:val="5AAA10A0"/>
    <w:rsid w:val="5C976E58"/>
    <w:rsid w:val="61E23A6F"/>
    <w:rsid w:val="62412F49"/>
    <w:rsid w:val="624553E4"/>
    <w:rsid w:val="6276429E"/>
    <w:rsid w:val="62F4026E"/>
    <w:rsid w:val="65561D37"/>
    <w:rsid w:val="67306069"/>
    <w:rsid w:val="67587B68"/>
    <w:rsid w:val="6ABB6D6B"/>
    <w:rsid w:val="6AF56335"/>
    <w:rsid w:val="6B8A782C"/>
    <w:rsid w:val="6BE172C8"/>
    <w:rsid w:val="6CE41F3D"/>
    <w:rsid w:val="6D595D11"/>
    <w:rsid w:val="6D6F6871"/>
    <w:rsid w:val="6F395B3C"/>
    <w:rsid w:val="6F47575B"/>
    <w:rsid w:val="6F535ACE"/>
    <w:rsid w:val="6FE76DC4"/>
    <w:rsid w:val="705905D8"/>
    <w:rsid w:val="72931D35"/>
    <w:rsid w:val="73247101"/>
    <w:rsid w:val="74225F9B"/>
    <w:rsid w:val="746F7336"/>
    <w:rsid w:val="747852FC"/>
    <w:rsid w:val="77EC41DA"/>
    <w:rsid w:val="785B6B77"/>
    <w:rsid w:val="7A595755"/>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1870</Words>
  <Characters>10664</Characters>
  <Lines>0</Lines>
  <Paragraphs>0</Paragraphs>
  <TotalTime>33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DELL</cp:lastModifiedBy>
  <cp:lastPrinted>2021-04-08T13:06:00Z</cp:lastPrinted>
  <dcterms:modified xsi:type="dcterms:W3CDTF">2021-04-08T13:10:15Z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9DF3A4C525DF49B899F26B859B232FD2</vt:lpwstr>
  </property>
</Properties>
</file>