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方正小标宋简体" w:hAnsi="方正小标宋简体" w:cs="方正小标宋简体" w:eastAsia="方正小标宋简体"/>
          <w:color w:val="000000"/>
          <w:spacing w:val="0"/>
          <w:position w:val="0"/>
          <w:sz w:val="44"/>
          <w:shd w:fill="auto" w:val="clear"/>
        </w:rPr>
      </w:pPr>
      <w:r>
        <w:rPr>
          <w:rFonts w:ascii="黑体" w:hAnsi="黑体" w:cs="黑体" w:eastAsia="黑体"/>
          <w:color w:val="000000"/>
          <w:spacing w:val="0"/>
          <w:position w:val="0"/>
          <w:sz w:val="32"/>
          <w:shd w:fill="auto" w:val="clear"/>
        </w:rPr>
        <w:t xml:space="preserve">附件3</w:t>
      </w:r>
    </w:p>
    <w:p>
      <w:pPr>
        <w:spacing w:before="0" w:after="0" w:line="240"/>
        <w:ind w:right="0" w:left="0" w:firstLine="0"/>
        <w:jc w:val="center"/>
        <w:rPr>
          <w:rFonts w:ascii="宋体" w:hAnsi="宋体" w:cs="宋体" w:eastAsia="宋体"/>
          <w:b/>
          <w:color w:val="000000"/>
          <w:spacing w:val="0"/>
          <w:position w:val="0"/>
          <w:sz w:val="44"/>
          <w:shd w:fill="auto" w:val="clear"/>
        </w:rPr>
      </w:pPr>
      <w:r>
        <w:rPr>
          <w:rFonts w:ascii="宋体" w:hAnsi="宋体" w:cs="宋体" w:eastAsia="宋体"/>
          <w:b/>
          <w:color w:val="000000"/>
          <w:spacing w:val="0"/>
          <w:position w:val="0"/>
          <w:sz w:val="44"/>
          <w:shd w:fill="auto" w:val="clear"/>
        </w:rPr>
        <w:t xml:space="preserve">河南省第二儿童医院</w:t>
      </w:r>
    </w:p>
    <w:p>
      <w:pPr>
        <w:spacing w:before="0" w:after="0" w:line="240"/>
        <w:ind w:right="0" w:left="0" w:firstLine="0"/>
        <w:jc w:val="center"/>
        <w:rPr>
          <w:rFonts w:ascii="宋体" w:hAnsi="宋体" w:cs="宋体" w:eastAsia="宋体"/>
          <w:color w:val="000000"/>
          <w:spacing w:val="0"/>
          <w:position w:val="0"/>
          <w:sz w:val="44"/>
          <w:shd w:fill="auto" w:val="clear"/>
        </w:rPr>
      </w:pPr>
      <w:r>
        <w:rPr>
          <w:rFonts w:ascii="宋体" w:hAnsi="宋体" w:cs="宋体" w:eastAsia="宋体"/>
          <w:b/>
          <w:color w:val="000000"/>
          <w:spacing w:val="0"/>
          <w:position w:val="0"/>
          <w:sz w:val="44"/>
          <w:shd w:fill="auto" w:val="clear"/>
        </w:rPr>
        <w:t xml:space="preserve">2021年</w:t>
      </w:r>
      <w:r>
        <w:rPr>
          <w:rFonts w:ascii="宋体" w:hAnsi="宋体" w:cs="宋体" w:eastAsia="宋体"/>
          <w:b/>
          <w:color w:val="auto"/>
          <w:spacing w:val="0"/>
          <w:position w:val="0"/>
          <w:sz w:val="44"/>
          <w:shd w:fill="auto" w:val="clear"/>
        </w:rPr>
        <w:t xml:space="preserve">行政管理人员</w:t>
      </w:r>
      <w:r>
        <w:rPr>
          <w:rFonts w:ascii="宋体" w:hAnsi="宋体" w:cs="宋体" w:eastAsia="宋体"/>
          <w:b/>
          <w:color w:val="000000"/>
          <w:spacing w:val="0"/>
          <w:position w:val="0"/>
          <w:sz w:val="44"/>
          <w:shd w:fill="auto" w:val="clear"/>
        </w:rPr>
        <w:t xml:space="preserve">招聘职位表</w:t>
      </w:r>
      <w:r>
        <w:rPr>
          <w:rFonts w:ascii="宋体" w:hAnsi="宋体" w:cs="宋体" w:eastAsia="宋体"/>
          <w:color w:val="000000"/>
          <w:spacing w:val="0"/>
          <w:position w:val="0"/>
          <w:sz w:val="44"/>
          <w:shd w:fill="auto" w:val="clear"/>
        </w:rPr>
        <w:t xml:space="preserve">（C类岗位）</w:t>
      </w:r>
    </w:p>
    <w:tbl>
      <w:tblPr/>
      <w:tblGrid>
        <w:gridCol w:w="762"/>
        <w:gridCol w:w="1569"/>
        <w:gridCol w:w="991"/>
        <w:gridCol w:w="931"/>
        <w:gridCol w:w="1997"/>
        <w:gridCol w:w="3427"/>
      </w:tblGrid>
      <w:tr>
        <w:trPr>
          <w:trHeight w:val="692" w:hRule="auto"/>
          <w:jc w:val="center"/>
        </w:trPr>
        <w:tc>
          <w:tcPr>
            <w:tcW w:w="7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新宋体" w:hAnsi="新宋体" w:cs="新宋体" w:eastAsia="新宋体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序号</w:t>
            </w:r>
          </w:p>
        </w:tc>
        <w:tc>
          <w:tcPr>
            <w:tcW w:w="1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新宋体" w:hAnsi="新宋体" w:cs="新宋体" w:eastAsia="新宋体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科室</w:t>
            </w:r>
          </w:p>
        </w:tc>
        <w:tc>
          <w:tcPr>
            <w:tcW w:w="9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新宋体" w:hAnsi="新宋体" w:cs="新宋体" w:eastAsia="新宋体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计划招聘人数</w:t>
            </w:r>
          </w:p>
        </w:tc>
        <w:tc>
          <w:tcPr>
            <w:tcW w:w="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新宋体" w:hAnsi="新宋体" w:cs="新宋体" w:eastAsia="新宋体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岗位</w:t>
            </w:r>
          </w:p>
        </w:tc>
        <w:tc>
          <w:tcPr>
            <w:tcW w:w="19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新宋体" w:hAnsi="新宋体" w:cs="新宋体" w:eastAsia="新宋体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学历条件</w:t>
            </w:r>
          </w:p>
        </w:tc>
        <w:tc>
          <w:tcPr>
            <w:tcW w:w="3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新宋体" w:hAnsi="新宋体" w:cs="新宋体" w:eastAsia="新宋体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专业</w:t>
            </w:r>
          </w:p>
        </w:tc>
      </w:tr>
      <w:tr>
        <w:trPr>
          <w:trHeight w:val="1446" w:hRule="auto"/>
          <w:jc w:val="center"/>
        </w:trPr>
        <w:tc>
          <w:tcPr>
            <w:tcW w:w="7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1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1"/>
                <w:shd w:fill="auto" w:val="clear"/>
              </w:rPr>
              <w:t xml:space="preserve">党、政办公室</w:t>
            </w:r>
          </w:p>
        </w:tc>
        <w:tc>
          <w:tcPr>
            <w:tcW w:w="9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1"/>
                <w:shd w:fill="auto" w:val="clear"/>
              </w:rPr>
              <w:t xml:space="preserve">7</w:t>
            </w:r>
          </w:p>
        </w:tc>
        <w:tc>
          <w:tcPr>
            <w:tcW w:w="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1"/>
                <w:shd w:fill="auto" w:val="clear"/>
              </w:rPr>
              <w:t xml:space="preserve">专技</w:t>
            </w:r>
          </w:p>
        </w:tc>
        <w:tc>
          <w:tcPr>
            <w:tcW w:w="19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1"/>
                <w:shd w:fill="auto" w:val="clear"/>
              </w:rPr>
              <w:t xml:space="preserve">普通全日制硕士研究生及以上学历</w:t>
            </w:r>
          </w:p>
        </w:tc>
        <w:tc>
          <w:tcPr>
            <w:tcW w:w="3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1"/>
                <w:shd w:fill="FFFFFF" w:val="clear"/>
              </w:rPr>
              <w:t xml:space="preserve">汉语言文学、汉语言、秘书学、应用语言学、文秘、秘书学、哲学、法学、法律、政治学与行政学、政治学经济学与哲学、思想政治教育、</w:t>
            </w:r>
            <w:hyperlink xmlns:r="http://schemas.openxmlformats.org/officeDocument/2006/relationships" r:id="docRId0">
              <w:r>
                <w:rPr>
                  <w:rFonts w:ascii="仿宋" w:hAnsi="仿宋" w:cs="仿宋" w:eastAsia="仿宋"/>
                  <w:color w:val="000000"/>
                  <w:spacing w:val="0"/>
                  <w:position w:val="0"/>
                  <w:sz w:val="21"/>
                  <w:u w:val="single"/>
                  <w:shd w:fill="FFFFFF" w:val="clear"/>
                </w:rPr>
                <w:t xml:space="preserve">档案学</w:t>
              </w:r>
            </w:hyperlink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1"/>
                <w:shd w:fill="FFFFFF" w:val="clear"/>
              </w:rPr>
              <w:t xml:space="preserve">、公共事业管理、行政管理、社会学、社会工作</w:t>
            </w:r>
          </w:p>
        </w:tc>
      </w:tr>
      <w:tr>
        <w:trPr>
          <w:trHeight w:val="608" w:hRule="auto"/>
          <w:jc w:val="center"/>
        </w:trPr>
        <w:tc>
          <w:tcPr>
            <w:tcW w:w="7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  <w:tc>
          <w:tcPr>
            <w:tcW w:w="1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1"/>
                <w:shd w:fill="auto" w:val="clear"/>
              </w:rPr>
              <w:t xml:space="preserve">人力资源</w:t>
            </w:r>
          </w:p>
        </w:tc>
        <w:tc>
          <w:tcPr>
            <w:tcW w:w="9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1"/>
                <w:shd w:fill="auto" w:val="clear"/>
              </w:rPr>
              <w:t xml:space="preserve">3</w:t>
            </w:r>
          </w:p>
        </w:tc>
        <w:tc>
          <w:tcPr>
            <w:tcW w:w="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1"/>
                <w:shd w:fill="auto" w:val="clear"/>
              </w:rPr>
              <w:t xml:space="preserve">专技</w:t>
            </w:r>
          </w:p>
        </w:tc>
        <w:tc>
          <w:tcPr>
            <w:tcW w:w="19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1"/>
                <w:shd w:fill="auto" w:val="clear"/>
              </w:rPr>
              <w:t xml:space="preserve">普通全日制硕士研究生及以上学历</w:t>
            </w:r>
          </w:p>
        </w:tc>
        <w:tc>
          <w:tcPr>
            <w:tcW w:w="3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1"/>
                <w:shd w:fill="auto" w:val="clear"/>
              </w:rPr>
              <w:t xml:space="preserve">人力资源管理、</w:t>
            </w: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1"/>
                <w:shd w:fill="FFFFFF" w:val="clear"/>
              </w:rPr>
              <w:t xml:space="preserve"> </w:t>
            </w:r>
            <w:hyperlink xmlns:r="http://schemas.openxmlformats.org/officeDocument/2006/relationships" r:id="docRId1">
              <w:r>
                <w:rPr>
                  <w:rFonts w:ascii="仿宋" w:hAnsi="仿宋" w:cs="仿宋" w:eastAsia="仿宋"/>
                  <w:color w:val="000000"/>
                  <w:spacing w:val="0"/>
                  <w:position w:val="0"/>
                  <w:sz w:val="21"/>
                  <w:u w:val="single"/>
                  <w:shd w:fill="FFFFFF" w:val="clear"/>
                </w:rPr>
                <w:t xml:space="preserve">档案学</w:t>
              </w:r>
            </w:hyperlink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1"/>
                <w:shd w:fill="FFFFFF" w:val="clear"/>
              </w:rPr>
              <w:t xml:space="preserve">、</w:t>
            </w: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1"/>
                <w:shd w:fill="auto" w:val="clear"/>
              </w:rPr>
              <w:t xml:space="preserve">行政管理、劳动与社会保障、劳动关系</w:t>
            </w:r>
          </w:p>
        </w:tc>
      </w:tr>
      <w:tr>
        <w:trPr>
          <w:trHeight w:val="971" w:hRule="auto"/>
          <w:jc w:val="center"/>
        </w:trPr>
        <w:tc>
          <w:tcPr>
            <w:tcW w:w="76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1"/>
                <w:shd w:fill="auto" w:val="clear"/>
              </w:rPr>
              <w:t xml:space="preserve">3</w:t>
            </w:r>
          </w:p>
        </w:tc>
        <w:tc>
          <w:tcPr>
            <w:tcW w:w="156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1"/>
                <w:shd w:fill="auto" w:val="clear"/>
              </w:rPr>
              <w:t xml:space="preserve">财务资产</w:t>
            </w:r>
          </w:p>
        </w:tc>
        <w:tc>
          <w:tcPr>
            <w:tcW w:w="9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1"/>
                <w:shd w:fill="auto" w:val="clear"/>
              </w:rPr>
              <w:t xml:space="preserve">7</w:t>
            </w:r>
          </w:p>
        </w:tc>
        <w:tc>
          <w:tcPr>
            <w:tcW w:w="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1"/>
                <w:shd w:fill="auto" w:val="clear"/>
              </w:rPr>
              <w:t xml:space="preserve">专技</w:t>
            </w:r>
          </w:p>
        </w:tc>
        <w:tc>
          <w:tcPr>
            <w:tcW w:w="19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1"/>
                <w:shd w:fill="auto" w:val="clear"/>
              </w:rPr>
              <w:t xml:space="preserve">普通全日制硕士研究生及以上学历</w:t>
            </w:r>
          </w:p>
        </w:tc>
        <w:tc>
          <w:tcPr>
            <w:tcW w:w="3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1"/>
                <w:shd w:fill="FFFFFF" w:val="clear"/>
              </w:rPr>
              <w:t xml:space="preserve">经济学、经济统计学、会计学、财务管理、应用经济学、经济统计学、财政学、金融学、统计学、</w:t>
            </w:r>
            <w:hyperlink xmlns:r="http://schemas.openxmlformats.org/officeDocument/2006/relationships" r:id="docRId2">
              <w:r>
                <w:rPr>
                  <w:rFonts w:ascii="仿宋" w:hAnsi="仿宋" w:cs="仿宋" w:eastAsia="仿宋"/>
                  <w:color w:val="000000"/>
                  <w:spacing w:val="0"/>
                  <w:position w:val="0"/>
                  <w:sz w:val="21"/>
                  <w:u w:val="single"/>
                  <w:shd w:fill="FFFFFF" w:val="clear"/>
                </w:rPr>
                <w:t xml:space="preserve">应用统计学</w:t>
              </w:r>
            </w:hyperlink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1"/>
                <w:shd w:fill="FFFFFF" w:val="clear"/>
              </w:rPr>
              <w:t xml:space="preserve">、审计学</w:t>
            </w:r>
          </w:p>
        </w:tc>
      </w:tr>
      <w:tr>
        <w:trPr>
          <w:trHeight w:val="608" w:hRule="auto"/>
          <w:jc w:val="center"/>
        </w:trPr>
        <w:tc>
          <w:tcPr>
            <w:tcW w:w="76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1"/>
                <w:shd w:fill="auto" w:val="clear"/>
              </w:rPr>
              <w:t xml:space="preserve">14</w:t>
            </w:r>
          </w:p>
        </w:tc>
        <w:tc>
          <w:tcPr>
            <w:tcW w:w="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1"/>
                <w:shd w:fill="auto" w:val="clear"/>
              </w:rPr>
              <w:t xml:space="preserve">专技</w:t>
            </w:r>
          </w:p>
        </w:tc>
        <w:tc>
          <w:tcPr>
            <w:tcW w:w="19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1"/>
                <w:shd w:fill="auto" w:val="clear"/>
              </w:rPr>
              <w:t xml:space="preserve">普通全日制</w:t>
            </w: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1"/>
                <w:shd w:fill="auto" w:val="clear"/>
              </w:rPr>
              <w:t xml:space="preserve">本科</w:t>
            </w: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1"/>
                <w:shd w:fill="auto" w:val="clear"/>
              </w:rPr>
              <w:t xml:space="preserve">及</w:t>
            </w: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1"/>
                <w:shd w:fill="auto" w:val="clear"/>
              </w:rPr>
              <w:t xml:space="preserve">以上学历</w:t>
            </w:r>
          </w:p>
        </w:tc>
        <w:tc>
          <w:tcPr>
            <w:tcW w:w="3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1"/>
                <w:shd w:fill="FFFFFF" w:val="clear"/>
              </w:rPr>
              <w:t xml:space="preserve">会计学、财务管理、经济统计学、统计学、</w:t>
            </w:r>
            <w:hyperlink xmlns:r="http://schemas.openxmlformats.org/officeDocument/2006/relationships" r:id="docRId3">
              <w:r>
                <w:rPr>
                  <w:rFonts w:ascii="仿宋" w:hAnsi="仿宋" w:cs="仿宋" w:eastAsia="仿宋"/>
                  <w:color w:val="000000"/>
                  <w:spacing w:val="0"/>
                  <w:position w:val="0"/>
                  <w:sz w:val="21"/>
                  <w:u w:val="single"/>
                  <w:shd w:fill="FFFFFF" w:val="clear"/>
                </w:rPr>
                <w:t xml:space="preserve">应用统计学</w:t>
              </w:r>
            </w:hyperlink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1"/>
                <w:shd w:fill="FFFFFF" w:val="clear"/>
              </w:rPr>
              <w:t xml:space="preserve">、审计学</w:t>
            </w:r>
          </w:p>
        </w:tc>
      </w:tr>
      <w:tr>
        <w:trPr>
          <w:trHeight w:val="734" w:hRule="auto"/>
          <w:jc w:val="center"/>
        </w:trPr>
        <w:tc>
          <w:tcPr>
            <w:tcW w:w="7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1"/>
                <w:shd w:fill="auto" w:val="clear"/>
              </w:rPr>
              <w:t xml:space="preserve">4</w:t>
            </w:r>
          </w:p>
        </w:tc>
        <w:tc>
          <w:tcPr>
            <w:tcW w:w="1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1"/>
                <w:shd w:fill="auto" w:val="clear"/>
              </w:rPr>
              <w:t xml:space="preserve">医务部</w:t>
            </w:r>
          </w:p>
        </w:tc>
        <w:tc>
          <w:tcPr>
            <w:tcW w:w="9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1"/>
                <w:shd w:fill="auto" w:val="clear"/>
              </w:rPr>
              <w:t xml:space="preserve">5</w:t>
            </w:r>
          </w:p>
        </w:tc>
        <w:tc>
          <w:tcPr>
            <w:tcW w:w="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1"/>
                <w:shd w:fill="auto" w:val="clear"/>
              </w:rPr>
              <w:t xml:space="preserve">专技</w:t>
            </w:r>
          </w:p>
        </w:tc>
        <w:tc>
          <w:tcPr>
            <w:tcW w:w="19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1"/>
                <w:shd w:fill="auto" w:val="clear"/>
              </w:rPr>
              <w:t xml:space="preserve">普通全日制硕士研究生及以上学历</w:t>
            </w:r>
          </w:p>
        </w:tc>
        <w:tc>
          <w:tcPr>
            <w:tcW w:w="3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1"/>
                <w:shd w:fill="FFFFFF" w:val="clear"/>
              </w:rPr>
              <w:t xml:space="preserve">社会医学与卫生事业管理、临床医学、行政管理、</w:t>
            </w: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1"/>
                <w:shd w:fill="auto" w:val="clear"/>
              </w:rPr>
              <w:t xml:space="preserve">公共卫生与预防医学、</w:t>
            </w: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1"/>
                <w:shd w:fill="FFFFFF" w:val="clear"/>
              </w:rPr>
              <w:t xml:space="preserve">法学、</w:t>
            </w: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1"/>
                <w:shd w:fill="auto" w:val="clear"/>
              </w:rPr>
              <w:t xml:space="preserve">预防医学、病案</w:t>
            </w:r>
          </w:p>
        </w:tc>
      </w:tr>
      <w:tr>
        <w:trPr>
          <w:trHeight w:val="608" w:hRule="auto"/>
          <w:jc w:val="center"/>
        </w:trPr>
        <w:tc>
          <w:tcPr>
            <w:tcW w:w="7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1"/>
                <w:shd w:fill="auto" w:val="clear"/>
              </w:rPr>
              <w:t xml:space="preserve">5</w:t>
            </w:r>
          </w:p>
        </w:tc>
        <w:tc>
          <w:tcPr>
            <w:tcW w:w="1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1"/>
                <w:shd w:fill="auto" w:val="clear"/>
              </w:rPr>
              <w:t xml:space="preserve">科教科</w:t>
            </w:r>
          </w:p>
        </w:tc>
        <w:tc>
          <w:tcPr>
            <w:tcW w:w="9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  <w:tc>
          <w:tcPr>
            <w:tcW w:w="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1"/>
                <w:shd w:fill="auto" w:val="clear"/>
              </w:rPr>
              <w:t xml:space="preserve">专技</w:t>
            </w:r>
          </w:p>
        </w:tc>
        <w:tc>
          <w:tcPr>
            <w:tcW w:w="19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1"/>
                <w:shd w:fill="auto" w:val="clear"/>
              </w:rPr>
              <w:t xml:space="preserve">普通全日制硕士研究生及以上学历</w:t>
            </w:r>
          </w:p>
        </w:tc>
        <w:tc>
          <w:tcPr>
            <w:tcW w:w="3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1"/>
                <w:shd w:fill="FFFFFF" w:val="clear"/>
              </w:rPr>
              <w:t xml:space="preserve">临床医学、社会医学与卫生事业管理、</w:t>
            </w: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1"/>
                <w:shd w:fill="auto" w:val="clear"/>
              </w:rPr>
              <w:t xml:space="preserve">公共卫生与预防医学</w:t>
            </w:r>
          </w:p>
        </w:tc>
      </w:tr>
      <w:tr>
        <w:trPr>
          <w:trHeight w:val="608" w:hRule="auto"/>
          <w:jc w:val="center"/>
        </w:trPr>
        <w:tc>
          <w:tcPr>
            <w:tcW w:w="7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1"/>
                <w:shd w:fill="auto" w:val="clear"/>
              </w:rPr>
              <w:t xml:space="preserve">6</w:t>
            </w:r>
          </w:p>
        </w:tc>
        <w:tc>
          <w:tcPr>
            <w:tcW w:w="1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1"/>
                <w:shd w:fill="auto" w:val="clear"/>
              </w:rPr>
              <w:t xml:space="preserve">护理部</w:t>
            </w:r>
          </w:p>
        </w:tc>
        <w:tc>
          <w:tcPr>
            <w:tcW w:w="9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1"/>
                <w:shd w:fill="auto" w:val="clear"/>
              </w:rPr>
              <w:t xml:space="preserve">3</w:t>
            </w:r>
          </w:p>
        </w:tc>
        <w:tc>
          <w:tcPr>
            <w:tcW w:w="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1"/>
                <w:shd w:fill="auto" w:val="clear"/>
              </w:rPr>
              <w:t xml:space="preserve">专技</w:t>
            </w:r>
          </w:p>
        </w:tc>
        <w:tc>
          <w:tcPr>
            <w:tcW w:w="19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1"/>
                <w:shd w:fill="auto" w:val="clear"/>
              </w:rPr>
              <w:t xml:space="preserve">普通全日制</w:t>
            </w: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1"/>
                <w:shd w:fill="auto" w:val="clear"/>
              </w:rPr>
              <w:t xml:space="preserve">本科</w:t>
            </w: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1"/>
                <w:shd w:fill="auto" w:val="clear"/>
              </w:rPr>
              <w:t xml:space="preserve">及</w:t>
            </w: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1"/>
                <w:shd w:fill="auto" w:val="clear"/>
              </w:rPr>
              <w:t xml:space="preserve">以上学历</w:t>
            </w:r>
          </w:p>
        </w:tc>
        <w:tc>
          <w:tcPr>
            <w:tcW w:w="3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1"/>
                <w:shd w:fill="auto" w:val="clear"/>
              </w:rPr>
              <w:t xml:space="preserve">护理学</w:t>
            </w:r>
          </w:p>
        </w:tc>
      </w:tr>
      <w:tr>
        <w:trPr>
          <w:trHeight w:val="734" w:hRule="auto"/>
          <w:jc w:val="center"/>
        </w:trPr>
        <w:tc>
          <w:tcPr>
            <w:tcW w:w="7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1"/>
                <w:shd w:fill="auto" w:val="clear"/>
              </w:rPr>
              <w:t xml:space="preserve">7</w:t>
            </w:r>
          </w:p>
        </w:tc>
        <w:tc>
          <w:tcPr>
            <w:tcW w:w="1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1"/>
                <w:shd w:fill="auto" w:val="clear"/>
              </w:rPr>
              <w:t xml:space="preserve">门诊部</w:t>
            </w:r>
          </w:p>
        </w:tc>
        <w:tc>
          <w:tcPr>
            <w:tcW w:w="9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  <w:tc>
          <w:tcPr>
            <w:tcW w:w="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1"/>
                <w:shd w:fill="auto" w:val="clear"/>
              </w:rPr>
              <w:t xml:space="preserve">专技</w:t>
            </w:r>
          </w:p>
        </w:tc>
        <w:tc>
          <w:tcPr>
            <w:tcW w:w="19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1"/>
                <w:shd w:fill="auto" w:val="clear"/>
              </w:rPr>
              <w:t xml:space="preserve">普通全日制</w:t>
            </w: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1"/>
                <w:shd w:fill="auto" w:val="clear"/>
              </w:rPr>
              <w:t xml:space="preserve">本科</w:t>
            </w: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1"/>
                <w:shd w:fill="auto" w:val="clear"/>
              </w:rPr>
              <w:t xml:space="preserve">及</w:t>
            </w: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1"/>
                <w:shd w:fill="auto" w:val="clear"/>
              </w:rPr>
              <w:t xml:space="preserve">以上学历</w:t>
            </w:r>
          </w:p>
        </w:tc>
        <w:tc>
          <w:tcPr>
            <w:tcW w:w="3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1"/>
                <w:shd w:fill="FFFFFF" w:val="clear"/>
              </w:rPr>
              <w:t xml:space="preserve">临床医学、社会医学与卫生事业管理、</w:t>
            </w: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1"/>
                <w:shd w:fill="auto" w:val="clear"/>
              </w:rPr>
              <w:t xml:space="preserve">公共卫生与预防医学、预防医学</w:t>
            </w:r>
          </w:p>
        </w:tc>
      </w:tr>
      <w:tr>
        <w:trPr>
          <w:trHeight w:val="734" w:hRule="auto"/>
          <w:jc w:val="center"/>
        </w:trPr>
        <w:tc>
          <w:tcPr>
            <w:tcW w:w="7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1"/>
                <w:shd w:fill="auto" w:val="clear"/>
              </w:rPr>
              <w:t xml:space="preserve">8</w:t>
            </w:r>
          </w:p>
        </w:tc>
        <w:tc>
          <w:tcPr>
            <w:tcW w:w="1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1"/>
                <w:shd w:fill="auto" w:val="clear"/>
              </w:rPr>
              <w:t xml:space="preserve">宣传法务</w:t>
            </w:r>
          </w:p>
        </w:tc>
        <w:tc>
          <w:tcPr>
            <w:tcW w:w="9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1"/>
                <w:shd w:fill="auto" w:val="clear"/>
              </w:rPr>
              <w:t xml:space="preserve">4</w:t>
            </w:r>
          </w:p>
        </w:tc>
        <w:tc>
          <w:tcPr>
            <w:tcW w:w="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1"/>
                <w:shd w:fill="auto" w:val="clear"/>
              </w:rPr>
              <w:t xml:space="preserve">专技</w:t>
            </w:r>
          </w:p>
        </w:tc>
        <w:tc>
          <w:tcPr>
            <w:tcW w:w="19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1"/>
                <w:shd w:fill="auto" w:val="clear"/>
              </w:rPr>
              <w:t xml:space="preserve">普通全日制硕士研究生及以上学历</w:t>
            </w:r>
          </w:p>
        </w:tc>
        <w:tc>
          <w:tcPr>
            <w:tcW w:w="3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1"/>
                <w:shd w:fill="auto" w:val="clear"/>
              </w:rPr>
              <w:t xml:space="preserve">传播学、新闻学、广告学、网络与新媒体、</w:t>
            </w:r>
            <w:hyperlink xmlns:r="http://schemas.openxmlformats.org/officeDocument/2006/relationships" r:id="docRId4">
              <w:r>
                <w:rPr>
                  <w:rFonts w:ascii="仿宋" w:hAnsi="仿宋" w:cs="仿宋" w:eastAsia="仿宋"/>
                  <w:color w:val="000000"/>
                  <w:spacing w:val="0"/>
                  <w:position w:val="0"/>
                  <w:sz w:val="21"/>
                  <w:u w:val="single"/>
                  <w:shd w:fill="FFFFFF" w:val="clear"/>
                </w:rPr>
                <w:t xml:space="preserve">美术学</w:t>
              </w:r>
            </w:hyperlink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1"/>
                <w:shd w:fill="FFFFFF" w:val="clear"/>
              </w:rPr>
              <w:t xml:space="preserve">、设计学、数字媒体艺术、</w:t>
            </w: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1"/>
                <w:shd w:fill="auto" w:val="clear"/>
              </w:rPr>
              <w:t xml:space="preserve">法学、市场营销</w:t>
            </w:r>
          </w:p>
        </w:tc>
      </w:tr>
      <w:tr>
        <w:trPr>
          <w:trHeight w:val="608" w:hRule="auto"/>
          <w:jc w:val="center"/>
        </w:trPr>
        <w:tc>
          <w:tcPr>
            <w:tcW w:w="7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1"/>
                <w:shd w:fill="auto" w:val="clear"/>
              </w:rPr>
              <w:t xml:space="preserve">9</w:t>
            </w:r>
          </w:p>
        </w:tc>
        <w:tc>
          <w:tcPr>
            <w:tcW w:w="1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1"/>
                <w:shd w:fill="auto" w:val="clear"/>
              </w:rPr>
              <w:t xml:space="preserve">药械科</w:t>
            </w:r>
          </w:p>
        </w:tc>
        <w:tc>
          <w:tcPr>
            <w:tcW w:w="9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1"/>
                <w:shd w:fill="auto" w:val="clear"/>
              </w:rPr>
              <w:t xml:space="preserve">5</w:t>
            </w:r>
          </w:p>
        </w:tc>
        <w:tc>
          <w:tcPr>
            <w:tcW w:w="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1"/>
                <w:shd w:fill="auto" w:val="clear"/>
              </w:rPr>
              <w:t xml:space="preserve">专技</w:t>
            </w:r>
          </w:p>
        </w:tc>
        <w:tc>
          <w:tcPr>
            <w:tcW w:w="19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1"/>
                <w:shd w:fill="auto" w:val="clear"/>
              </w:rPr>
              <w:t xml:space="preserve">普通全日制</w:t>
            </w: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1"/>
                <w:shd w:fill="auto" w:val="clear"/>
              </w:rPr>
              <w:t xml:space="preserve">本科</w:t>
            </w: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1"/>
                <w:shd w:fill="auto" w:val="clear"/>
              </w:rPr>
              <w:t xml:space="preserve">及</w:t>
            </w: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1"/>
                <w:shd w:fill="auto" w:val="clear"/>
              </w:rPr>
              <w:t xml:space="preserve">以上学历</w:t>
            </w:r>
          </w:p>
        </w:tc>
        <w:tc>
          <w:tcPr>
            <w:tcW w:w="3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1"/>
                <w:shd w:fill="FFFFFF" w:val="clear"/>
              </w:rPr>
              <w:t xml:space="preserve">药事管理、</w:t>
            </w: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1"/>
                <w:shd w:fill="auto" w:val="clear"/>
              </w:rPr>
              <w:t xml:space="preserve">药学、中药学、生物医学工程、临床药学</w:t>
            </w:r>
          </w:p>
        </w:tc>
      </w:tr>
      <w:tr>
        <w:trPr>
          <w:trHeight w:val="608" w:hRule="auto"/>
          <w:jc w:val="center"/>
        </w:trPr>
        <w:tc>
          <w:tcPr>
            <w:tcW w:w="7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1"/>
                <w:shd w:fill="auto" w:val="clear"/>
              </w:rPr>
              <w:t xml:space="preserve">10</w:t>
            </w:r>
          </w:p>
        </w:tc>
        <w:tc>
          <w:tcPr>
            <w:tcW w:w="1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000000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1"/>
                <w:shd w:fill="auto" w:val="clear"/>
              </w:rPr>
              <w:t xml:space="preserve">医院感染管理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1"/>
                <w:shd w:fill="auto" w:val="clear"/>
              </w:rPr>
              <w:t xml:space="preserve">和公共卫生</w:t>
            </w:r>
          </w:p>
        </w:tc>
        <w:tc>
          <w:tcPr>
            <w:tcW w:w="9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  <w:tc>
          <w:tcPr>
            <w:tcW w:w="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1"/>
                <w:shd w:fill="auto" w:val="clear"/>
              </w:rPr>
              <w:t xml:space="preserve">专技</w:t>
            </w:r>
          </w:p>
        </w:tc>
        <w:tc>
          <w:tcPr>
            <w:tcW w:w="19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1"/>
                <w:shd w:fill="auto" w:val="clear"/>
              </w:rPr>
              <w:t xml:space="preserve">普通全日制硕士研究生及以上学历</w:t>
            </w:r>
          </w:p>
        </w:tc>
        <w:tc>
          <w:tcPr>
            <w:tcW w:w="3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1"/>
                <w:shd w:fill="FFFFFF" w:val="clear"/>
              </w:rPr>
              <w:t xml:space="preserve">临床医学、社会医学与卫生事业管理、</w:t>
            </w: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1"/>
                <w:shd w:fill="auto" w:val="clear"/>
              </w:rPr>
              <w:t xml:space="preserve">公共卫生与预防医学、</w:t>
            </w:r>
          </w:p>
        </w:tc>
      </w:tr>
      <w:tr>
        <w:trPr>
          <w:trHeight w:val="734" w:hRule="auto"/>
          <w:jc w:val="center"/>
        </w:trPr>
        <w:tc>
          <w:tcPr>
            <w:tcW w:w="7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1"/>
                <w:shd w:fill="auto" w:val="clear"/>
              </w:rPr>
              <w:t xml:space="preserve">11</w:t>
            </w:r>
          </w:p>
        </w:tc>
        <w:tc>
          <w:tcPr>
            <w:tcW w:w="1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1"/>
                <w:shd w:fill="auto" w:val="clear"/>
              </w:rPr>
              <w:t xml:space="preserve">信息科</w:t>
            </w:r>
          </w:p>
        </w:tc>
        <w:tc>
          <w:tcPr>
            <w:tcW w:w="9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1"/>
                <w:shd w:fill="auto" w:val="clear"/>
              </w:rPr>
              <w:t xml:space="preserve">4</w:t>
            </w:r>
          </w:p>
        </w:tc>
        <w:tc>
          <w:tcPr>
            <w:tcW w:w="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1"/>
                <w:shd w:fill="auto" w:val="clear"/>
              </w:rPr>
              <w:t xml:space="preserve">专技</w:t>
            </w:r>
          </w:p>
        </w:tc>
        <w:tc>
          <w:tcPr>
            <w:tcW w:w="19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1"/>
                <w:shd w:fill="auto" w:val="clear"/>
              </w:rPr>
              <w:t xml:space="preserve">普通全日制硕士研究生及以上学历</w:t>
            </w:r>
          </w:p>
        </w:tc>
        <w:tc>
          <w:tcPr>
            <w:tcW w:w="3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1"/>
                <w:shd w:fill="FFFFFF" w:val="clear"/>
              </w:rPr>
              <w:t xml:space="preserve">计算机应用技术、</w:t>
            </w:r>
            <w:hyperlink xmlns:r="http://schemas.openxmlformats.org/officeDocument/2006/relationships" r:id="docRId5">
              <w:r>
                <w:rPr>
                  <w:rFonts w:ascii="仿宋" w:hAnsi="仿宋" w:cs="仿宋" w:eastAsia="仿宋"/>
                  <w:color w:val="000000"/>
                  <w:spacing w:val="0"/>
                  <w:position w:val="0"/>
                  <w:sz w:val="21"/>
                  <w:u w:val="single"/>
                  <w:shd w:fill="FFFFFF" w:val="clear"/>
                </w:rPr>
                <w:t xml:space="preserve">计算机科学与技术</w:t>
              </w:r>
            </w:hyperlink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1"/>
                <w:shd w:fill="FFFFFF" w:val="clear"/>
              </w:rPr>
              <w:t xml:space="preserve">、</w:t>
            </w: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1"/>
                <w:shd w:fill="auto" w:val="clear"/>
              </w:rPr>
              <w:t xml:space="preserve">信息安全、</w:t>
            </w: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1"/>
                <w:shd w:fill="FFFFFF" w:val="clear"/>
              </w:rPr>
              <w:t xml:space="preserve">网络工程、软件工程、</w:t>
            </w:r>
            <w:hyperlink xmlns:r="http://schemas.openxmlformats.org/officeDocument/2006/relationships" r:id="docRId6">
              <w:r>
                <w:rPr>
                  <w:rFonts w:ascii="仿宋" w:hAnsi="仿宋" w:cs="仿宋" w:eastAsia="仿宋"/>
                  <w:color w:val="000000"/>
                  <w:spacing w:val="0"/>
                  <w:position w:val="0"/>
                  <w:sz w:val="21"/>
                  <w:u w:val="single"/>
                  <w:shd w:fill="FFFFFF" w:val="clear"/>
                </w:rPr>
                <w:t xml:space="preserve">新媒体技术</w:t>
              </w:r>
            </w:hyperlink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1"/>
                <w:shd w:fill="FFFFFF" w:val="clear"/>
              </w:rPr>
              <w:t xml:space="preserve">、医学信息工程</w:t>
            </w:r>
          </w:p>
        </w:tc>
      </w:tr>
      <w:tr>
        <w:trPr>
          <w:trHeight w:val="1230" w:hRule="auto"/>
          <w:jc w:val="center"/>
        </w:trPr>
        <w:tc>
          <w:tcPr>
            <w:tcW w:w="7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1"/>
                <w:shd w:fill="auto" w:val="clear"/>
              </w:rPr>
              <w:t xml:space="preserve">12</w:t>
            </w:r>
          </w:p>
        </w:tc>
        <w:tc>
          <w:tcPr>
            <w:tcW w:w="1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1"/>
                <w:shd w:fill="auto" w:val="clear"/>
              </w:rPr>
              <w:t xml:space="preserve">后勤保卫</w:t>
            </w:r>
          </w:p>
        </w:tc>
        <w:tc>
          <w:tcPr>
            <w:tcW w:w="9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1"/>
                <w:shd w:fill="auto" w:val="clear"/>
              </w:rPr>
              <w:t xml:space="preserve">6</w:t>
            </w:r>
          </w:p>
        </w:tc>
        <w:tc>
          <w:tcPr>
            <w:tcW w:w="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1"/>
                <w:shd w:fill="auto" w:val="clear"/>
              </w:rPr>
              <w:t xml:space="preserve">专技</w:t>
            </w:r>
          </w:p>
        </w:tc>
        <w:tc>
          <w:tcPr>
            <w:tcW w:w="19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1"/>
                <w:shd w:fill="auto" w:val="clear"/>
              </w:rPr>
              <w:t xml:space="preserve">普通全日制</w:t>
            </w: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1"/>
                <w:shd w:fill="auto" w:val="clear"/>
              </w:rPr>
              <w:t xml:space="preserve">本科</w:t>
            </w: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1"/>
                <w:shd w:fill="auto" w:val="clear"/>
              </w:rPr>
              <w:t xml:space="preserve">及</w:t>
            </w: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1"/>
                <w:shd w:fill="auto" w:val="clear"/>
              </w:rPr>
              <w:t xml:space="preserve">以上学历</w:t>
            </w:r>
          </w:p>
        </w:tc>
        <w:tc>
          <w:tcPr>
            <w:tcW w:w="3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1"/>
                <w:shd w:fill="auto" w:val="clear"/>
              </w:rPr>
              <w:t xml:space="preserve">建筑与土木工程、土木工程、</w:t>
            </w: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1"/>
                <w:shd w:fill="FFFFFF" w:val="clear"/>
              </w:rPr>
              <w:t xml:space="preserve">给排水科学与工程、</w:t>
            </w: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1"/>
                <w:shd w:fill="auto" w:val="clear"/>
              </w:rPr>
              <w:t xml:space="preserve">建筑环境与能源应用工程、建筑电气与智能化</w:t>
            </w: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1"/>
                <w:shd w:fill="FFFFFF" w:val="clear"/>
              </w:rPr>
              <w:t xml:space="preserve">、物业管理、</w:t>
            </w: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1"/>
                <w:shd w:fill="auto" w:val="clear"/>
              </w:rPr>
              <w:t xml:space="preserve">工程造价、物流工程、采购管理、工程管理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baike.sogou.com/lemma/ShowInnerLink.htm?lemmaId=105403852&amp;ss_c=ssc.citiao.link" Id="docRId3" Type="http://schemas.openxmlformats.org/officeDocument/2006/relationships/hyperlink" /><Relationship Target="numbering.xml" Id="docRId7" Type="http://schemas.openxmlformats.org/officeDocument/2006/relationships/numbering" /><Relationship TargetMode="External" Target="https://baike.sogou.com/lemma/ShowInnerLink.htm?lemmaId=5732539&amp;ss_c=ssc.citiao.link" Id="docRId0" Type="http://schemas.openxmlformats.org/officeDocument/2006/relationships/hyperlink" /><Relationship TargetMode="External" Target="https://baike.sogou.com/lemma/ShowInnerLink.htm?lemmaId=105403852&amp;ss_c=ssc.citiao.link" Id="docRId2" Type="http://schemas.openxmlformats.org/officeDocument/2006/relationships/hyperlink" /><Relationship TargetMode="External" Target="https://baike.sogou.com/lemma/ShowInnerLink.htm?lemmaId=789900&amp;ss_c=ssc.citiao.link" Id="docRId4" Type="http://schemas.openxmlformats.org/officeDocument/2006/relationships/hyperlink" /><Relationship TargetMode="External" Target="https://baike.sogou.com/lemma/ShowInnerLink.htm?lemmaId=70332028&amp;ss_c=ssc.citiao.link" Id="docRId6" Type="http://schemas.openxmlformats.org/officeDocument/2006/relationships/hyperlink" /><Relationship Target="styles.xml" Id="docRId8" Type="http://schemas.openxmlformats.org/officeDocument/2006/relationships/styles" /><Relationship TargetMode="External" Target="https://baike.sogou.com/lemma/ShowInnerLink.htm?lemmaId=5732539&amp;ss_c=ssc.citiao.link" Id="docRId1" Type="http://schemas.openxmlformats.org/officeDocument/2006/relationships/hyperlink" /><Relationship TargetMode="External" Target="https://baike.sogou.com/lemma/ShowInnerLink.htm?lemmaId=82123875&amp;ss_c=ssc.citiao.link" Id="docRId5" Type="http://schemas.openxmlformats.org/officeDocument/2006/relationships/hyperlink" /></Relationships>
</file>