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三门峡黄河明珠（集团）有限公司2021年公开招聘高校毕业生</w:t>
      </w: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笔试参加确认单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2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本人确认参加三门峡黄河明珠（集团）有限公司2021年公开招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聘</w:t>
      </w:r>
      <w:r>
        <w:rPr>
          <w:rFonts w:hint="eastAsia" w:ascii="方正仿宋简体" w:eastAsia="方正仿宋简体"/>
          <w:b/>
          <w:sz w:val="28"/>
          <w:szCs w:val="28"/>
        </w:rPr>
        <w:t>高校毕业生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1D2D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410BDC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25E1573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877ADE"/>
    <w:rsid w:val="62F31410"/>
    <w:rsid w:val="63255F6C"/>
    <w:rsid w:val="633A238E"/>
    <w:rsid w:val="63DB3684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5C2448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13D86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8D549A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Theme="minorHAnsi" w:eastAsiaTheme="minorEastAsia" w:cstheme="minorBidi"/>
    </w:rPr>
  </w:style>
  <w:style w:type="paragraph" w:styleId="3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4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0</TotalTime>
  <ScaleCrop>false</ScaleCrop>
  <LinksUpToDate>false</LinksUpToDate>
  <CharactersWithSpaces>1423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hushuang</cp:lastModifiedBy>
  <cp:lastPrinted>2021-03-03T03:18:00Z</cp:lastPrinted>
  <dcterms:modified xsi:type="dcterms:W3CDTF">2021-03-10T08:38:22Z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