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jc w:val="both"/>
        <w:textAlignment w:val="center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</w:p>
    <w:p>
      <w:pPr>
        <w:widowControl/>
        <w:jc w:val="center"/>
        <w:textAlignment w:val="center"/>
        <w:rPr>
          <w:rFonts w:ascii="Times New Roman" w:hAnsi="Times New Roman" w:eastAsia="方正小标宋简体" w:cs="Times New Roman"/>
          <w:color w:val="FF0000"/>
          <w:sz w:val="36"/>
          <w:szCs w:val="36"/>
          <w:highlight w:val="none"/>
          <w:shd w:val="clear" w:color="auto" w:fill="FFFFFF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  <w:shd w:val="clear" w:color="auto" w:fill="FFFFFF"/>
        </w:rPr>
        <w:t>台州市资产管理有限公司招聘岗位表</w:t>
      </w:r>
    </w:p>
    <w:p>
      <w:pPr>
        <w:jc w:val="center"/>
        <w:rPr>
          <w:rFonts w:ascii="Times New Roman" w:hAnsi="Times New Roman" w:eastAsia="方正小标宋简体" w:cs="Times New Roman"/>
          <w:color w:val="FF0000"/>
          <w:szCs w:val="21"/>
          <w:highlight w:val="none"/>
          <w:shd w:val="clear" w:color="auto" w:fill="FFFFFF"/>
        </w:rPr>
      </w:pPr>
    </w:p>
    <w:tbl>
      <w:tblPr>
        <w:tblStyle w:val="4"/>
        <w:tblW w:w="12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235"/>
        <w:gridCol w:w="542"/>
        <w:gridCol w:w="1426"/>
        <w:gridCol w:w="1451"/>
        <w:gridCol w:w="1616"/>
        <w:gridCol w:w="4888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岗位名称</w:t>
            </w:r>
          </w:p>
        </w:tc>
        <w:tc>
          <w:tcPr>
            <w:tcW w:w="5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人数</w:t>
            </w:r>
          </w:p>
        </w:tc>
        <w:tc>
          <w:tcPr>
            <w:tcW w:w="142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学历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专业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年龄</w:t>
            </w:r>
          </w:p>
        </w:tc>
        <w:tc>
          <w:tcPr>
            <w:tcW w:w="488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其他要求</w:t>
            </w:r>
          </w:p>
        </w:tc>
        <w:tc>
          <w:tcPr>
            <w:tcW w:w="135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1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业务一部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经理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研究生及以上学历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专业不限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1986年1月1日以后出生</w:t>
            </w:r>
          </w:p>
        </w:tc>
        <w:tc>
          <w:tcPr>
            <w:tcW w:w="488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研究生及以上学历，5年（含）以上国有银行（工农中建交五大行）工作经验，有国有银行支行部门负责人（或支行部门负责人同等级别）及以上任职经历，有对公条线或风险条线工作经历。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yellow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法务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本科及以上学历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法学类专业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1986年1月1日以后出生</w:t>
            </w:r>
          </w:p>
        </w:tc>
        <w:tc>
          <w:tcPr>
            <w:tcW w:w="488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法学专业，持有A类法律职业资格证书，有3年及以上律师工作经验，且有不良资产或金融领域法律事务从业经历。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highlight w:val="yellow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基金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业务岗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全日制本科及以上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经济学类、金融学类、金融类、法学类、工商管理类、财务会计类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1991年1月1日以后出生</w:t>
            </w:r>
          </w:p>
        </w:tc>
        <w:tc>
          <w:tcPr>
            <w:tcW w:w="488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本科及以上学历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，具备基金</w:t>
            </w: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从业资格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，要求在券商投行部、私募股权投资公司从事私募股权基金投资管理工作经验3年以上，具有3个以上私募股权投资项目经验，熟悉私募股权的基金业务的各个环节及风险防范。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笔试、面试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yellow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不良资产业务岗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全日制本科及以上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经济学类、金融学类、金融类、法学类、工商管理类、财务会计类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1991年1月1日以后出生</w:t>
            </w:r>
          </w:p>
        </w:tc>
        <w:tc>
          <w:tcPr>
            <w:tcW w:w="488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在持牌AMC或有国有控股的资产管理公司从事不良资产工作2年及以上，具有良好的政治素质，遵纪守法、诚实守信，无不良记录，能熟练应用办公软件。在持牌AMC资产管理公司目前从事不良资产收购与处置工作的，可放宽专业限制。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笔试、面试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91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21608"/>
    <w:rsid w:val="2E42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2021-02-26T08:11:00Z</dcterms:created>
  <dc:creator>Mz</dc:creator>
  <cp:lastModifiedBy>Mz</cp:lastModifiedBy>
  <dcterms:modified xsi:type="dcterms:W3CDTF">2021-02-26T08:12:19Z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