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0C" w:rsidRPr="00B6730C" w:rsidRDefault="00B6730C" w:rsidP="00B6730C">
      <w:pPr>
        <w:shd w:val="clear" w:color="auto" w:fill="FFFFFF"/>
        <w:wordWrap w:val="0"/>
        <w:adjustRightInd/>
        <w:snapToGrid/>
        <w:spacing w:after="0" w:line="540" w:lineRule="atLeast"/>
        <w:rPr>
          <w:rFonts w:ascii="微软雅黑" w:hAnsi="微软雅黑" w:cs="宋体"/>
          <w:color w:val="333333"/>
          <w:sz w:val="24"/>
          <w:szCs w:val="24"/>
        </w:rPr>
      </w:pPr>
    </w:p>
    <w:tbl>
      <w:tblPr>
        <w:tblW w:w="9499" w:type="dxa"/>
        <w:tblCellMar>
          <w:left w:w="0" w:type="dxa"/>
          <w:right w:w="0" w:type="dxa"/>
        </w:tblCellMar>
        <w:tblLook w:val="04A0"/>
      </w:tblPr>
      <w:tblGrid>
        <w:gridCol w:w="398"/>
        <w:gridCol w:w="673"/>
        <w:gridCol w:w="446"/>
        <w:gridCol w:w="626"/>
        <w:gridCol w:w="986"/>
        <w:gridCol w:w="2047"/>
        <w:gridCol w:w="1109"/>
        <w:gridCol w:w="1109"/>
        <w:gridCol w:w="986"/>
        <w:gridCol w:w="597"/>
        <w:gridCol w:w="522"/>
      </w:tblGrid>
      <w:tr w:rsidR="00B6730C" w:rsidRPr="00B6730C" w:rsidTr="00B6730C">
        <w:trPr>
          <w:trHeight w:val="604"/>
        </w:trPr>
        <w:tc>
          <w:tcPr>
            <w:tcW w:w="9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小标宋简体" w:eastAsia="方正小标宋简体" w:hAnsi="宋体" w:cs="宋体" w:hint="eastAsia"/>
                <w:color w:val="333333"/>
                <w:sz w:val="40"/>
                <w:szCs w:val="40"/>
              </w:rPr>
              <w:t>梁平区人民医院2021年2月招聘岗位一览表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708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岗位名称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招聘名额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学历（学位）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专业要求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笔试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操作考试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面试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108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2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检验科专职采血护士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2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30周岁及以下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全日制专科及以上学历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护理学、护理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需取得执业护士证。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护理相关知识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单人心肺复苏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面试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252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3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护士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7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30周岁及以下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本科及以上学历（第一学历需为全日制专科）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护理学、护理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需取得执业护士证，有三甲医院工作经验2年及以上或取得护师规培证者学历可放宽至全日制专科。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综合成绩按照1:1.5比例试岗14天，再考核后正式录用，试岗期间待遇每人500元。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护理相关知识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单人心肺复苏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面试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72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4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中药师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1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35周岁及以下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全日制专科及以上学历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中药学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取得中级职称。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中药相关知识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面试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143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5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药师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2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30周岁及以下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全日制本科及以上学历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药学、临床药学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取得药师证，有中级职称学历可放宽至全日制专科。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西药相关知识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面试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  <w:tr w:rsidR="00B6730C" w:rsidRPr="00B6730C" w:rsidTr="00B6730C">
        <w:trPr>
          <w:trHeight w:val="36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30C" w:rsidRPr="00B6730C" w:rsidRDefault="00B6730C" w:rsidP="00B6730C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6730C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 </w:t>
            </w:r>
            <w:r w:rsidRPr="00B6730C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B6730C" w:rsidRPr="00B6730C" w:rsidRDefault="00B6730C" w:rsidP="00B6730C">
      <w:pPr>
        <w:shd w:val="clear" w:color="auto" w:fill="FFFFFF"/>
        <w:wordWrap w:val="0"/>
        <w:adjustRightInd/>
        <w:snapToGrid/>
        <w:spacing w:after="0" w:line="54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6730C">
        <w:rPr>
          <w:rFonts w:ascii="宋体" w:eastAsia="宋体" w:hAnsi="宋体" w:cs="宋体"/>
          <w:color w:val="333333"/>
          <w:sz w:val="24"/>
          <w:szCs w:val="24"/>
        </w:rPr>
        <w:t xml:space="preserve"> 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730C"/>
    <w:rsid w:val="00064F88"/>
    <w:rsid w:val="00323B43"/>
    <w:rsid w:val="003D37D8"/>
    <w:rsid w:val="004358AB"/>
    <w:rsid w:val="0064020C"/>
    <w:rsid w:val="008811B0"/>
    <w:rsid w:val="008B7726"/>
    <w:rsid w:val="00B600C9"/>
    <w:rsid w:val="00B6730C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2021-02-08T03:42:00Z</dcterms:created>
  <dcterms:modified xsi:type="dcterms:W3CDTF">2021-02-08T03:42:00Z</dcterms:modified>
</cp:coreProperties>
</file>