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79"/>
        <w:gridCol w:w="1236"/>
        <w:gridCol w:w="3332"/>
        <w:gridCol w:w="2028"/>
        <w:gridCol w:w="1910"/>
        <w:gridCol w:w="2016"/>
        <w:gridCol w:w="19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  <w:t>1年诸暨市新城投资开发集团有限公司公开招聘合同工计划表</w:t>
            </w:r>
          </w:p>
          <w:bookmarkEnd w:id="0"/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职称证书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子公司财务部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财务财会类等相关专业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周岁及以下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198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6年2月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日以后出生）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初级及以上职称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有规模企业或国有企事业单位财务、融资相关工作经历。</w:t>
            </w:r>
          </w:p>
        </w:tc>
      </w:tr>
    </w:tbl>
    <w:p>
      <w:pPr>
        <w:spacing w:line="540" w:lineRule="exact"/>
        <w:ind w:firstLine="723" w:firstLineChars="20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1672"/>
    <w:rsid w:val="2E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styleId="4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2021-02-18T06:43:00Z</dcterms:created>
  <dc:creator>Administrator</dc:creator>
  <cp:lastModifiedBy>Administrator</cp:lastModifiedBy>
  <dcterms:modified xsi:type="dcterms:W3CDTF">2021-02-18T06:43:57Z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