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pPr w:leftFromText="180" w:rightFromText="180" w:vertAnchor="page" w:horzAnchor="margin" w:tblpXSpec="center" w:tblpY="1327"/>
        <w:tblW w:w="15026" w:type="dxa"/>
        <w:tblInd w:w="0" w:type="dxa"/>
        <w:tblLayout w:type="fixed"/>
        <w:tblCellMar>
          <w:top w:w="0" w:type="dxa"/>
          <w:left w:w="108" w:type="dxa"/>
          <w:bottom w:w="0" w:type="dxa"/>
          <w:right w:w="108" w:type="dxa"/>
        </w:tblCellMar>
      </w:tblPr>
      <w:tblGrid>
        <w:gridCol w:w="709"/>
        <w:gridCol w:w="709"/>
        <w:gridCol w:w="709"/>
        <w:gridCol w:w="1134"/>
        <w:gridCol w:w="708"/>
        <w:gridCol w:w="1985"/>
        <w:gridCol w:w="8647"/>
        <w:gridCol w:w="425"/>
      </w:tblGrid>
      <w:tr>
        <w:tblPrEx>
          <w:tblLayout w:type="fixed"/>
          <w:tblCellMar>
            <w:top w:w="0" w:type="dxa"/>
            <w:left w:w="108" w:type="dxa"/>
            <w:bottom w:w="0" w:type="dxa"/>
            <w:right w:w="108" w:type="dxa"/>
          </w:tblCellMar>
        </w:tblPrEx>
        <w:trPr>
          <w:trHeight w:val="1005" w:hRule="atLeast"/>
        </w:trPr>
        <w:tc>
          <w:tcPr>
            <w:tcW w:w="15026" w:type="dxa"/>
            <w:gridSpan w:val="8"/>
            <w:tcBorders>
              <w:top w:val="nil"/>
              <w:left w:val="nil"/>
              <w:bottom w:val="nil"/>
              <w:right w:val="nil"/>
            </w:tcBorders>
            <w:shd w:val="clear" w:color="auto" w:fill="auto"/>
            <w:vAlign w:val="center"/>
          </w:tcPr>
          <w:p>
            <w:pPr>
              <w:widowControl/>
              <w:rPr>
                <w:rFonts w:ascii="方正小标宋简体" w:hAnsi="宋体" w:eastAsia="方正小标宋简体" w:cs="宋体"/>
                <w:color w:val="000000"/>
                <w:kern w:val="0"/>
                <w:sz w:val="36"/>
                <w:szCs w:val="36"/>
              </w:rPr>
            </w:pPr>
            <w:r>
              <w:rPr>
                <w:rFonts w:cs="宋体" w:asciiTheme="minorEastAsia" w:hAnsiTheme="minorEastAsia"/>
                <w:b/>
                <w:color w:val="000000"/>
                <w:kern w:val="0"/>
                <w:sz w:val="28"/>
                <w:szCs w:val="36"/>
              </w:rPr>
              <w:t>附件</w:t>
            </w:r>
            <w:r>
              <w:rPr>
                <w:rFonts w:hint="eastAsia" w:cs="宋体" w:asciiTheme="minorEastAsia" w:hAnsiTheme="minorEastAsia"/>
                <w:b/>
                <w:color w:val="000000"/>
                <w:kern w:val="0"/>
                <w:sz w:val="28"/>
                <w:szCs w:val="36"/>
              </w:rPr>
              <w:t>1</w:t>
            </w:r>
            <w:r>
              <w:rPr>
                <w:rFonts w:hint="eastAsia" w:ascii="方正小标宋简体" w:hAnsi="宋体" w:eastAsia="方正小标宋简体" w:cs="宋体"/>
                <w:color w:val="000000"/>
                <w:kern w:val="0"/>
                <w:sz w:val="36"/>
                <w:szCs w:val="36"/>
              </w:rPr>
              <w:t xml:space="preserve"> </w:t>
            </w:r>
            <w:r>
              <w:rPr>
                <w:rFonts w:ascii="方正小标宋简体" w:hAnsi="宋体" w:eastAsia="方正小标宋简体" w:cs="宋体"/>
                <w:color w:val="000000"/>
                <w:kern w:val="0"/>
                <w:sz w:val="36"/>
                <w:szCs w:val="36"/>
              </w:rPr>
              <w:t xml:space="preserve">        </w:t>
            </w:r>
            <w:bookmarkStart w:id="0" w:name="_GoBack"/>
            <w:r>
              <w:rPr>
                <w:rFonts w:hint="eastAsia" w:ascii="方正小标宋简体" w:hAnsi="宋体" w:eastAsia="方正小标宋简体" w:cs="宋体"/>
                <w:color w:val="000000"/>
                <w:kern w:val="0"/>
                <w:sz w:val="36"/>
                <w:szCs w:val="36"/>
              </w:rPr>
              <w:t>山西能投科技2021年公开招聘工作人员招聘岗位及招聘条件</w:t>
            </w:r>
            <w:bookmarkEnd w:id="0"/>
          </w:p>
        </w:tc>
      </w:tr>
      <w:tr>
        <w:tblPrEx>
          <w:tblLayout w:type="fixed"/>
          <w:tblCellMar>
            <w:top w:w="0" w:type="dxa"/>
            <w:left w:w="108" w:type="dxa"/>
            <w:bottom w:w="0" w:type="dxa"/>
            <w:right w:w="108" w:type="dxa"/>
          </w:tblCellMar>
        </w:tblPrEx>
        <w:trPr>
          <w:trHeight w:val="131" w:hRule="atLeast"/>
        </w:trPr>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招聘岗位</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招聘人数</w:t>
            </w:r>
          </w:p>
        </w:tc>
        <w:tc>
          <w:tcPr>
            <w:tcW w:w="453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招聘条件</w:t>
            </w:r>
          </w:p>
        </w:tc>
        <w:tc>
          <w:tcPr>
            <w:tcW w:w="86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岗位职责</w:t>
            </w:r>
          </w:p>
        </w:tc>
        <w:tc>
          <w:tcPr>
            <w:tcW w:w="4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Layout w:type="fixed"/>
          <w:tblCellMar>
            <w:top w:w="0" w:type="dxa"/>
            <w:left w:w="108" w:type="dxa"/>
            <w:bottom w:w="0" w:type="dxa"/>
            <w:right w:w="108" w:type="dxa"/>
          </w:tblCellMar>
        </w:tblPrEx>
        <w:trPr>
          <w:trHeight w:val="225" w:hRule="atLeast"/>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4"/>
                <w:szCs w:val="24"/>
              </w:rPr>
            </w:pPr>
          </w:p>
        </w:tc>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4"/>
                <w:szCs w:val="24"/>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学历要求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专业要求</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年龄要求</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其他要求</w:t>
            </w:r>
          </w:p>
        </w:tc>
        <w:tc>
          <w:tcPr>
            <w:tcW w:w="864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2"/>
              </w:rPr>
            </w:pPr>
          </w:p>
        </w:tc>
        <w:tc>
          <w:tcPr>
            <w:tcW w:w="4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2"/>
              </w:rPr>
            </w:pPr>
          </w:p>
        </w:tc>
      </w:tr>
      <w:tr>
        <w:tblPrEx>
          <w:tblLayout w:type="fixed"/>
          <w:tblCellMar>
            <w:top w:w="0" w:type="dxa"/>
            <w:left w:w="108" w:type="dxa"/>
            <w:bottom w:w="0" w:type="dxa"/>
            <w:right w:w="108" w:type="dxa"/>
          </w:tblCellMar>
        </w:tblPrEx>
        <w:trPr>
          <w:trHeight w:val="2842"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总会计师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全日制大学本科及以上学历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会计学、审计学、财务管理</w:t>
            </w:r>
            <w:r>
              <w:rPr>
                <w:rFonts w:hint="eastAsia" w:ascii="宋体" w:hAnsi="宋体" w:eastAsia="宋体" w:cs="宋体"/>
                <w:color w:val="000000"/>
                <w:kern w:val="0"/>
                <w:sz w:val="18"/>
                <w:szCs w:val="20"/>
                <w:lang w:eastAsia="zh-CN"/>
              </w:rPr>
              <w:t>、</w:t>
            </w:r>
            <w:r>
              <w:rPr>
                <w:rFonts w:hint="eastAsia" w:ascii="宋体" w:hAnsi="宋体" w:eastAsia="宋体" w:cs="宋体"/>
                <w:color w:val="auto"/>
                <w:kern w:val="0"/>
                <w:sz w:val="18"/>
                <w:szCs w:val="20"/>
                <w:lang w:eastAsia="zh-CN"/>
              </w:rPr>
              <w:t>工商管理</w:t>
            </w:r>
            <w:r>
              <w:rPr>
                <w:rFonts w:hint="eastAsia" w:ascii="宋体" w:hAnsi="宋体" w:eastAsia="宋体" w:cs="宋体"/>
                <w:color w:val="auto"/>
                <w:kern w:val="0"/>
                <w:sz w:val="18"/>
                <w:szCs w:val="20"/>
              </w:rPr>
              <w:t>等</w:t>
            </w:r>
            <w:r>
              <w:rPr>
                <w:rFonts w:hint="eastAsia" w:ascii="宋体" w:hAnsi="宋体" w:eastAsia="宋体" w:cs="宋体"/>
                <w:color w:val="000000"/>
                <w:kern w:val="0"/>
                <w:sz w:val="18"/>
                <w:szCs w:val="20"/>
              </w:rPr>
              <w:t>相关专业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50周岁以下</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w:t>
            </w:r>
            <w:r>
              <w:rPr>
                <w:rFonts w:hint="eastAsia" w:ascii="宋体" w:hAnsi="宋体" w:eastAsia="宋体" w:cs="宋体"/>
                <w:color w:val="000000"/>
                <w:kern w:val="0"/>
                <w:sz w:val="18"/>
                <w:szCs w:val="20"/>
                <w:lang w:val="en-US" w:eastAsia="zh-CN"/>
              </w:rPr>
              <w:t>.</w:t>
            </w:r>
            <w:r>
              <w:rPr>
                <w:rFonts w:hint="eastAsia" w:ascii="宋体" w:hAnsi="宋体" w:eastAsia="宋体" w:cs="宋体"/>
                <w:color w:val="000000"/>
                <w:kern w:val="0"/>
                <w:sz w:val="18"/>
                <w:szCs w:val="20"/>
              </w:rPr>
              <w:t>10年以上相关工作经验，或现任职省属国有企业、中央驻省企业，或类似省</w:t>
            </w:r>
            <w:r>
              <w:rPr>
                <w:rFonts w:hint="eastAsia" w:ascii="宋体" w:hAnsi="宋体" w:eastAsia="宋体" w:cs="宋体"/>
                <w:color w:val="auto"/>
                <w:kern w:val="0"/>
                <w:sz w:val="18"/>
                <w:szCs w:val="20"/>
              </w:rPr>
              <w:t>外机构</w:t>
            </w:r>
            <w:r>
              <w:rPr>
                <w:rFonts w:hint="eastAsia" w:ascii="宋体" w:hAnsi="宋体" w:eastAsia="宋体" w:cs="宋体"/>
                <w:color w:val="auto"/>
                <w:kern w:val="0"/>
                <w:sz w:val="18"/>
                <w:szCs w:val="20"/>
                <w:lang w:eastAsia="zh-CN"/>
              </w:rPr>
              <w:t>相关</w:t>
            </w:r>
            <w:r>
              <w:rPr>
                <w:rFonts w:hint="eastAsia" w:ascii="宋体" w:hAnsi="宋体" w:eastAsia="宋体" w:cs="宋体"/>
                <w:color w:val="auto"/>
                <w:kern w:val="0"/>
                <w:sz w:val="18"/>
                <w:szCs w:val="20"/>
              </w:rPr>
              <w:t>部门负责人</w:t>
            </w:r>
            <w:r>
              <w:rPr>
                <w:rFonts w:hint="eastAsia" w:ascii="宋体" w:hAnsi="宋体" w:eastAsia="宋体" w:cs="宋体"/>
                <w:color w:val="000000"/>
                <w:kern w:val="0"/>
                <w:sz w:val="18"/>
                <w:szCs w:val="20"/>
              </w:rPr>
              <w:t>可适当放宽条件；</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2、有相关行业资格证书者优先。</w:t>
            </w:r>
          </w:p>
        </w:tc>
        <w:tc>
          <w:tcPr>
            <w:tcW w:w="8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1.负责组织公司的会计核算、财务管理及融资等工作；</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2.负责监控本公司的财务状况，及时采取有效措施控制财务风险，并定期开展经济活动分析，提出合理化经营建议；</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3.负责将公司各项业务和财务有效结合，为公司的经营发展提供数据支持和分析，为领导决策提供依据；</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4.负责与集团内部、外部相关监管部门的联系和沟通，积极配合集团各项要求，密切关注财政、工商、税收等部门最新政策；</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5.负责根据公司发展规划，组织年度收支预算和资金流预算。负责维护和巩固包括商业银行在内的各类金融及非金融机构的日常合作关系，筹划融资方案，合理调配资金使用，确保公司稳健经营；</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6.配合相关部门审查或参与拟定公司有关经济合同、工程合同及各种协议、方案等；</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7.负责协调上级相关监管部门及会计师事务所、审计事务所等中介机构针对公司开展的各项检查和专项审计。</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7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综合管理部部长</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1</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全日制大学本科及以上学历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企业管理、工商管理、行政管理、人力资源管理、文秘等相关专业</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40周岁以下</w:t>
            </w:r>
          </w:p>
        </w:tc>
        <w:tc>
          <w:tcPr>
            <w:tcW w:w="19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w:t>
            </w:r>
            <w:r>
              <w:rPr>
                <w:rFonts w:hint="eastAsia" w:ascii="宋体" w:hAnsi="宋体" w:eastAsia="宋体" w:cs="宋体"/>
                <w:color w:val="000000"/>
                <w:kern w:val="0"/>
                <w:sz w:val="18"/>
                <w:szCs w:val="20"/>
                <w:lang w:val="en-US" w:eastAsia="zh-CN"/>
              </w:rPr>
              <w:t>.</w:t>
            </w:r>
            <w:r>
              <w:rPr>
                <w:rFonts w:hint="eastAsia" w:ascii="宋体" w:hAnsi="宋体" w:eastAsia="宋体" w:cs="宋体"/>
                <w:color w:val="000000"/>
                <w:kern w:val="0"/>
                <w:sz w:val="18"/>
                <w:szCs w:val="20"/>
              </w:rPr>
              <w:t>5年以上相关工作经验，或现任职省属国有企业、中央驻省企业，或类似省外机构部门负责人可适当放宽条件；</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2、中国共产党党员优先。</w:t>
            </w:r>
          </w:p>
        </w:tc>
        <w:tc>
          <w:tcPr>
            <w:tcW w:w="864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1.负责组织制定公司行政管理、人事管理相关制度、工作流程，并组织实施，同时协调各部室工作，督导行政事务的落实；</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2.负责制定本部门的年度和月度工作计划，并组织实施；</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3.负责起草、审核、批转重要文件、决定和决议文稿；</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4.负责公司各类会议，检查各项决议（决策）贯彻执行情况；</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5.负责上级单位视察、来访等对外联络工作；</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6.负责审核公司行政费用开支，控制本部门的行政费用；</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7.负责公司的劳动工资管理、奖金、统计管理和养老保险管理，并组织实施；</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8.负责企业的后勤管理和日常管理工作，负责车辆管理。</w:t>
            </w:r>
          </w:p>
        </w:tc>
        <w:tc>
          <w:tcPr>
            <w:tcW w:w="4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eastAsia="宋体" w:cs="宋体"/>
                <w:color w:val="000000"/>
                <w:kern w:val="0"/>
                <w:sz w:val="20"/>
                <w:szCs w:val="20"/>
              </w:rPr>
            </w:pPr>
          </w:p>
        </w:tc>
      </w:tr>
    </w:tbl>
    <w:p>
      <w:pPr>
        <w:rPr>
          <w:rFonts w:ascii="黑体" w:hAnsi="黑体" w:eastAsia="黑体" w:cs="黑体"/>
          <w:sz w:val="32"/>
          <w:szCs w:val="32"/>
        </w:rPr>
      </w:pPr>
    </w:p>
    <w:tbl>
      <w:tblPr>
        <w:tblStyle w:val="7"/>
        <w:tblpPr w:leftFromText="180" w:rightFromText="180" w:vertAnchor="text" w:horzAnchor="margin" w:tblpXSpec="center" w:tblpY="-833"/>
        <w:tblW w:w="15120" w:type="dxa"/>
        <w:tblInd w:w="0" w:type="dxa"/>
        <w:tblLayout w:type="fixed"/>
        <w:tblCellMar>
          <w:top w:w="0" w:type="dxa"/>
          <w:left w:w="108" w:type="dxa"/>
          <w:bottom w:w="0" w:type="dxa"/>
          <w:right w:w="108" w:type="dxa"/>
        </w:tblCellMar>
      </w:tblPr>
      <w:tblGrid>
        <w:gridCol w:w="709"/>
        <w:gridCol w:w="803"/>
        <w:gridCol w:w="708"/>
        <w:gridCol w:w="1134"/>
        <w:gridCol w:w="709"/>
        <w:gridCol w:w="2126"/>
        <w:gridCol w:w="8505"/>
        <w:gridCol w:w="426"/>
      </w:tblGrid>
      <w:tr>
        <w:tblPrEx>
          <w:tblLayout w:type="fixed"/>
          <w:tblCellMar>
            <w:top w:w="0" w:type="dxa"/>
            <w:left w:w="108" w:type="dxa"/>
            <w:bottom w:w="0" w:type="dxa"/>
            <w:right w:w="108" w:type="dxa"/>
          </w:tblCellMar>
        </w:tblPrEx>
        <w:trPr>
          <w:trHeight w:val="1005" w:hRule="atLeast"/>
        </w:trPr>
        <w:tc>
          <w:tcPr>
            <w:tcW w:w="15120" w:type="dxa"/>
            <w:gridSpan w:val="8"/>
            <w:tcBorders>
              <w:top w:val="nil"/>
              <w:left w:val="nil"/>
              <w:bottom w:val="nil"/>
              <w:right w:val="nil"/>
            </w:tcBorders>
            <w:shd w:val="clear" w:color="auto" w:fill="auto"/>
            <w:vAlign w:val="center"/>
          </w:tcPr>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山西能投科技2021年公开招聘工作人员招聘岗位及招聘条件</w:t>
            </w:r>
          </w:p>
        </w:tc>
      </w:tr>
      <w:tr>
        <w:tblPrEx>
          <w:tblLayout w:type="fixed"/>
          <w:tblCellMar>
            <w:top w:w="0" w:type="dxa"/>
            <w:left w:w="108" w:type="dxa"/>
            <w:bottom w:w="0" w:type="dxa"/>
            <w:right w:w="108" w:type="dxa"/>
          </w:tblCellMar>
        </w:tblPrEx>
        <w:trPr>
          <w:trHeight w:val="269" w:hRule="atLeast"/>
        </w:trPr>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招聘岗位</w:t>
            </w:r>
          </w:p>
        </w:tc>
        <w:tc>
          <w:tcPr>
            <w:tcW w:w="8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招聘人数</w:t>
            </w:r>
          </w:p>
        </w:tc>
        <w:tc>
          <w:tcPr>
            <w:tcW w:w="4677"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招聘条件</w:t>
            </w:r>
          </w:p>
        </w:tc>
        <w:tc>
          <w:tcPr>
            <w:tcW w:w="85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岗位职责</w:t>
            </w:r>
          </w:p>
        </w:tc>
        <w:tc>
          <w:tcPr>
            <w:tcW w:w="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备注</w:t>
            </w:r>
          </w:p>
        </w:tc>
      </w:tr>
      <w:tr>
        <w:tblPrEx>
          <w:tblLayout w:type="fixed"/>
          <w:tblCellMar>
            <w:top w:w="0" w:type="dxa"/>
            <w:left w:w="108" w:type="dxa"/>
            <w:bottom w:w="0" w:type="dxa"/>
            <w:right w:w="108" w:type="dxa"/>
          </w:tblCellMar>
        </w:tblPrEx>
        <w:trPr>
          <w:trHeight w:val="372" w:hRule="atLeast"/>
        </w:trPr>
        <w:tc>
          <w:tcPr>
            <w:tcW w:w="7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4"/>
                <w:szCs w:val="24"/>
              </w:rPr>
            </w:pPr>
          </w:p>
        </w:tc>
        <w:tc>
          <w:tcPr>
            <w:tcW w:w="80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4"/>
                <w:szCs w:val="24"/>
              </w:rPr>
            </w:pP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学历要求</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专业要求</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年龄要求</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其他要求</w:t>
            </w:r>
          </w:p>
        </w:tc>
        <w:tc>
          <w:tcPr>
            <w:tcW w:w="850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2"/>
              </w:rPr>
            </w:pPr>
          </w:p>
        </w:tc>
        <w:tc>
          <w:tcPr>
            <w:tcW w:w="42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b/>
                <w:bCs/>
                <w:color w:val="000000"/>
                <w:kern w:val="0"/>
                <w:sz w:val="22"/>
              </w:rPr>
            </w:pPr>
          </w:p>
        </w:tc>
      </w:tr>
      <w:tr>
        <w:tblPrEx>
          <w:tblLayout w:type="fixed"/>
          <w:tblCellMar>
            <w:top w:w="0" w:type="dxa"/>
            <w:left w:w="108" w:type="dxa"/>
            <w:bottom w:w="0" w:type="dxa"/>
            <w:right w:w="108" w:type="dxa"/>
          </w:tblCellMar>
        </w:tblPrEx>
        <w:trPr>
          <w:trHeight w:val="2285"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运营维护部部长</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全日制大学本科及以上学历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电器工程与自动化、机电一体化等相关专业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40周岁以下</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1、5年以上电力行业运维管理工作经验，或现任职省属国有企业、中央驻省企业，或类似省外机构部门负责人可适当放宽条件；</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2、有相关行业资格证书者优先。</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1.负责运营维护部全面管理工作，制定并执行运维规章制度；</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2.根据公司下达的生产任务，负责组织制定生产计划并实施；</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3.负责完善运营维护部组织架构和工作流程；</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4.负责开展公司运维项目的成本、质量管理考核；</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5.负责部门员工和各区域电站运维负责人的工作绩效考核；</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6.负责有关运维的新产品、新工艺的引进、实施和相关验证工作；</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7.负责定期对各运维项目进行检查，分析运行维护数据，总结经验教训。</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1896"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运营维护部副部长</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全日制大学本科及以上学历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计算机、软件工程、通信工程等相关专业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35周岁以下</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1、3年以上相关工作经验，或现任职省属国有企业、中央驻省企业，或类似省外机构部门负责人可适当放宽条件；</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2、有相关行业资格证书者优先。</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1.协助部长完成运营维护部的生产任务和经营指标；</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2.负责对山西省光伏扶贫监测调度中心的管理；</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3.负责对省监测调度中心数据的统计、分析；</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4.参与对全省光伏扶贫电站的成效评估；</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5.负责公司主机房及各项目分机房的管理。</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r>
      <w:tr>
        <w:tblPrEx>
          <w:tblLayout w:type="fixed"/>
          <w:tblCellMar>
            <w:top w:w="0" w:type="dxa"/>
            <w:left w:w="108" w:type="dxa"/>
            <w:bottom w:w="0" w:type="dxa"/>
            <w:right w:w="108" w:type="dxa"/>
          </w:tblCellMar>
        </w:tblPrEx>
        <w:trPr>
          <w:trHeight w:val="1970"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运维核算人员</w:t>
            </w:r>
          </w:p>
        </w:tc>
        <w:tc>
          <w:tcPr>
            <w:tcW w:w="8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全日制大学本科及以上学历</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会计学、审计学、财务管理等相关专业</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20"/>
              </w:rPr>
            </w:pPr>
            <w:r>
              <w:rPr>
                <w:rFonts w:hint="eastAsia" w:ascii="宋体" w:hAnsi="宋体" w:eastAsia="宋体" w:cs="宋体"/>
                <w:color w:val="000000"/>
                <w:kern w:val="0"/>
                <w:sz w:val="18"/>
                <w:szCs w:val="20"/>
              </w:rPr>
              <w:t>30周岁以下</w:t>
            </w:r>
          </w:p>
        </w:tc>
        <w:tc>
          <w:tcPr>
            <w:tcW w:w="21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1、能熟练操作MS office、C语言、VB语言者优先；                                                 2、有相关行业资格证书者优先。</w:t>
            </w:r>
          </w:p>
        </w:tc>
        <w:tc>
          <w:tcPr>
            <w:tcW w:w="85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18"/>
                <w:szCs w:val="20"/>
              </w:rPr>
            </w:pPr>
            <w:r>
              <w:rPr>
                <w:rFonts w:hint="eastAsia" w:ascii="宋体" w:hAnsi="宋体" w:eastAsia="宋体" w:cs="宋体"/>
                <w:color w:val="000000"/>
                <w:kern w:val="0"/>
                <w:sz w:val="18"/>
                <w:szCs w:val="20"/>
              </w:rPr>
              <w:t>1.负责公司各电站每月发电量收益的统计；</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2.负责核对每月发电量与发电收益、补贴等是否准确；</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3.负责按约定向相关各方对电费收益进行分配；</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4.负责出具公司各电站的收入报表；</w:t>
            </w:r>
            <w:r>
              <w:rPr>
                <w:rFonts w:hint="eastAsia" w:ascii="宋体" w:hAnsi="宋体" w:eastAsia="宋体" w:cs="宋体"/>
                <w:color w:val="000000"/>
                <w:kern w:val="0"/>
                <w:sz w:val="18"/>
                <w:szCs w:val="20"/>
              </w:rPr>
              <w:br w:type="textWrapping"/>
            </w:r>
            <w:r>
              <w:rPr>
                <w:rFonts w:hint="eastAsia" w:ascii="宋体" w:hAnsi="宋体" w:eastAsia="宋体" w:cs="宋体"/>
                <w:color w:val="000000"/>
                <w:kern w:val="0"/>
                <w:sz w:val="18"/>
                <w:szCs w:val="20"/>
              </w:rPr>
              <w:t>5.完成其他与电费结算相关的工作。</w:t>
            </w:r>
          </w:p>
        </w:tc>
        <w:tc>
          <w:tcPr>
            <w:tcW w:w="4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eastAsia="宋体" w:cs="宋体"/>
                <w:color w:val="000000"/>
                <w:kern w:val="0"/>
                <w:sz w:val="20"/>
                <w:szCs w:val="20"/>
              </w:rPr>
            </w:pPr>
          </w:p>
        </w:tc>
      </w:tr>
    </w:tbl>
    <w:p>
      <w:pPr>
        <w:rPr>
          <w:rFonts w:ascii="黑体" w:hAnsi="黑体" w:eastAsia="黑体" w:cs="黑体"/>
          <w:sz w:val="32"/>
          <w:szCs w:val="32"/>
        </w:rPr>
        <w:sectPr>
          <w:pgSz w:w="16838" w:h="11906" w:orient="landscape"/>
          <w:pgMar w:top="1800" w:right="1440" w:bottom="1800" w:left="1440" w:header="851" w:footer="992" w:gutter="0"/>
          <w:pgNumType w:fmt="numberInDash"/>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6E57A8"/>
    <w:rsid w:val="0016692A"/>
    <w:rsid w:val="01A42E73"/>
    <w:rsid w:val="02F658C2"/>
    <w:rsid w:val="039B51D2"/>
    <w:rsid w:val="03B806FA"/>
    <w:rsid w:val="04816FFC"/>
    <w:rsid w:val="04916949"/>
    <w:rsid w:val="04A24D16"/>
    <w:rsid w:val="06744B81"/>
    <w:rsid w:val="07145199"/>
    <w:rsid w:val="076E57A8"/>
    <w:rsid w:val="07C8009A"/>
    <w:rsid w:val="07F700EF"/>
    <w:rsid w:val="097E01FC"/>
    <w:rsid w:val="0A3778C8"/>
    <w:rsid w:val="0A4C2D99"/>
    <w:rsid w:val="0A4C63E3"/>
    <w:rsid w:val="0A831A53"/>
    <w:rsid w:val="0B1F3D47"/>
    <w:rsid w:val="0BB876A7"/>
    <w:rsid w:val="0BC2043B"/>
    <w:rsid w:val="0BDE3F6E"/>
    <w:rsid w:val="0C261C59"/>
    <w:rsid w:val="0CEA44A5"/>
    <w:rsid w:val="0D595270"/>
    <w:rsid w:val="0DF976CA"/>
    <w:rsid w:val="0E3A262E"/>
    <w:rsid w:val="0E486A2A"/>
    <w:rsid w:val="0E5F43F8"/>
    <w:rsid w:val="0F8F21BD"/>
    <w:rsid w:val="0FE95F3E"/>
    <w:rsid w:val="10597263"/>
    <w:rsid w:val="109F1D1A"/>
    <w:rsid w:val="110923E2"/>
    <w:rsid w:val="11B17CC3"/>
    <w:rsid w:val="11C379C5"/>
    <w:rsid w:val="124355AE"/>
    <w:rsid w:val="13D35DEF"/>
    <w:rsid w:val="140F6CB6"/>
    <w:rsid w:val="153544B6"/>
    <w:rsid w:val="153A22CA"/>
    <w:rsid w:val="1557665E"/>
    <w:rsid w:val="15711B9B"/>
    <w:rsid w:val="158C1479"/>
    <w:rsid w:val="165E1615"/>
    <w:rsid w:val="169E665F"/>
    <w:rsid w:val="18220A14"/>
    <w:rsid w:val="19675D7C"/>
    <w:rsid w:val="1A0A1D7B"/>
    <w:rsid w:val="1B203D29"/>
    <w:rsid w:val="1B354237"/>
    <w:rsid w:val="1B873112"/>
    <w:rsid w:val="1CB1620A"/>
    <w:rsid w:val="1CDC68FC"/>
    <w:rsid w:val="1D5C5BEB"/>
    <w:rsid w:val="1D9073A1"/>
    <w:rsid w:val="1DA2050B"/>
    <w:rsid w:val="1DC7069C"/>
    <w:rsid w:val="1FD55445"/>
    <w:rsid w:val="21CB71D9"/>
    <w:rsid w:val="227C29A4"/>
    <w:rsid w:val="23664606"/>
    <w:rsid w:val="238524AE"/>
    <w:rsid w:val="2579357C"/>
    <w:rsid w:val="26C66E4A"/>
    <w:rsid w:val="27100188"/>
    <w:rsid w:val="282666F7"/>
    <w:rsid w:val="289E74A7"/>
    <w:rsid w:val="28D04A81"/>
    <w:rsid w:val="28F121FA"/>
    <w:rsid w:val="29094CC6"/>
    <w:rsid w:val="29E17555"/>
    <w:rsid w:val="2A635FEA"/>
    <w:rsid w:val="2A664CE9"/>
    <w:rsid w:val="2B5012C6"/>
    <w:rsid w:val="2BCD1BA0"/>
    <w:rsid w:val="2CF94709"/>
    <w:rsid w:val="308E55B1"/>
    <w:rsid w:val="322F147D"/>
    <w:rsid w:val="329202C7"/>
    <w:rsid w:val="3449414E"/>
    <w:rsid w:val="3BDA38D3"/>
    <w:rsid w:val="3D4C5AAB"/>
    <w:rsid w:val="3E062853"/>
    <w:rsid w:val="3F6305B4"/>
    <w:rsid w:val="3FAB0680"/>
    <w:rsid w:val="40B97B2B"/>
    <w:rsid w:val="412D3BD3"/>
    <w:rsid w:val="43B03668"/>
    <w:rsid w:val="44DE57D0"/>
    <w:rsid w:val="451C5858"/>
    <w:rsid w:val="45BF6D23"/>
    <w:rsid w:val="465D4D1E"/>
    <w:rsid w:val="47DB20EA"/>
    <w:rsid w:val="482D526E"/>
    <w:rsid w:val="48314FDA"/>
    <w:rsid w:val="48547D45"/>
    <w:rsid w:val="48E75DF8"/>
    <w:rsid w:val="4A886E4B"/>
    <w:rsid w:val="4ABF607D"/>
    <w:rsid w:val="4B452DF9"/>
    <w:rsid w:val="4CBA340D"/>
    <w:rsid w:val="4CCF349A"/>
    <w:rsid w:val="4CD072C5"/>
    <w:rsid w:val="4D3F3076"/>
    <w:rsid w:val="4D9D0060"/>
    <w:rsid w:val="4DAC1198"/>
    <w:rsid w:val="4DAC6991"/>
    <w:rsid w:val="4DCB5163"/>
    <w:rsid w:val="4DD84624"/>
    <w:rsid w:val="4E6145EF"/>
    <w:rsid w:val="4E7B1349"/>
    <w:rsid w:val="500F29E1"/>
    <w:rsid w:val="505671D5"/>
    <w:rsid w:val="5098730F"/>
    <w:rsid w:val="50B657F7"/>
    <w:rsid w:val="51A15BF3"/>
    <w:rsid w:val="51D96F93"/>
    <w:rsid w:val="51ED1D28"/>
    <w:rsid w:val="51F92E8A"/>
    <w:rsid w:val="529B075F"/>
    <w:rsid w:val="53015619"/>
    <w:rsid w:val="53034C40"/>
    <w:rsid w:val="54B128D5"/>
    <w:rsid w:val="555173B5"/>
    <w:rsid w:val="55534170"/>
    <w:rsid w:val="5554541A"/>
    <w:rsid w:val="558D1CE6"/>
    <w:rsid w:val="58C67532"/>
    <w:rsid w:val="59214D7F"/>
    <w:rsid w:val="59837377"/>
    <w:rsid w:val="598F0DD6"/>
    <w:rsid w:val="59A20930"/>
    <w:rsid w:val="59AE1912"/>
    <w:rsid w:val="5A422634"/>
    <w:rsid w:val="5B4E0781"/>
    <w:rsid w:val="5C194E20"/>
    <w:rsid w:val="5C24568E"/>
    <w:rsid w:val="5C3C0B96"/>
    <w:rsid w:val="5C5F638A"/>
    <w:rsid w:val="5C664B0F"/>
    <w:rsid w:val="5C717DB8"/>
    <w:rsid w:val="5CC91770"/>
    <w:rsid w:val="5CE63ADC"/>
    <w:rsid w:val="5CE67C25"/>
    <w:rsid w:val="5E274BC8"/>
    <w:rsid w:val="5E3F5291"/>
    <w:rsid w:val="5E4C4F77"/>
    <w:rsid w:val="5F0E0CE8"/>
    <w:rsid w:val="605563A8"/>
    <w:rsid w:val="61E125AE"/>
    <w:rsid w:val="6239041D"/>
    <w:rsid w:val="624E2B7A"/>
    <w:rsid w:val="632752D5"/>
    <w:rsid w:val="635A7646"/>
    <w:rsid w:val="639B3CA9"/>
    <w:rsid w:val="646E57ED"/>
    <w:rsid w:val="6549649E"/>
    <w:rsid w:val="656C6F46"/>
    <w:rsid w:val="66380D97"/>
    <w:rsid w:val="666C3EF5"/>
    <w:rsid w:val="679071D0"/>
    <w:rsid w:val="68470ECE"/>
    <w:rsid w:val="69937CB2"/>
    <w:rsid w:val="6A6A2FE9"/>
    <w:rsid w:val="6BCF7874"/>
    <w:rsid w:val="6BD529B5"/>
    <w:rsid w:val="6BF02255"/>
    <w:rsid w:val="6C7A13D3"/>
    <w:rsid w:val="6CB37305"/>
    <w:rsid w:val="6CDE7116"/>
    <w:rsid w:val="6D0C6EAF"/>
    <w:rsid w:val="6D761369"/>
    <w:rsid w:val="6ED71610"/>
    <w:rsid w:val="6F3F19AA"/>
    <w:rsid w:val="6F5C65F6"/>
    <w:rsid w:val="6FE05C89"/>
    <w:rsid w:val="713A2881"/>
    <w:rsid w:val="71E437F7"/>
    <w:rsid w:val="72144530"/>
    <w:rsid w:val="728835EC"/>
    <w:rsid w:val="72955263"/>
    <w:rsid w:val="73C47BAF"/>
    <w:rsid w:val="74830CA6"/>
    <w:rsid w:val="74CA33AE"/>
    <w:rsid w:val="7519112D"/>
    <w:rsid w:val="75B157F0"/>
    <w:rsid w:val="75B97A76"/>
    <w:rsid w:val="77A52A4E"/>
    <w:rsid w:val="7A283CCE"/>
    <w:rsid w:val="7AF93ADC"/>
    <w:rsid w:val="7B2D378B"/>
    <w:rsid w:val="7C0C6E2E"/>
    <w:rsid w:val="7C235EDB"/>
    <w:rsid w:val="7C2F64D5"/>
    <w:rsid w:val="7C755190"/>
    <w:rsid w:val="7CAD7BE4"/>
    <w:rsid w:val="7CD9473D"/>
    <w:rsid w:val="7D9143CC"/>
    <w:rsid w:val="7DED0B9F"/>
    <w:rsid w:val="7E763C3E"/>
    <w:rsid w:val="7EE64B9A"/>
    <w:rsid w:val="7FA55448"/>
    <w:rsid w:val="7FF215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eastAsia="方正小标宋简体" w:asciiTheme="minorAscii" w:hAnsiTheme="minorAscii"/>
      <w:kern w:val="44"/>
      <w:sz w:val="44"/>
    </w:rPr>
  </w:style>
  <w:style w:type="paragraph" w:styleId="3">
    <w:name w:val="heading 2"/>
    <w:basedOn w:val="1"/>
    <w:next w:val="1"/>
    <w:semiHidden/>
    <w:unhideWhenUsed/>
    <w:qFormat/>
    <w:uiPriority w:val="0"/>
    <w:pPr>
      <w:keepNext/>
      <w:keepLines/>
      <w:spacing w:before="260" w:beforeLines="0" w:beforeAutospacing="0" w:after="260" w:afterLines="0" w:afterAutospacing="0" w:line="413" w:lineRule="auto"/>
      <w:outlineLvl w:val="1"/>
    </w:pPr>
    <w:rPr>
      <w:rFonts w:ascii="Arial" w:hAnsi="Arial" w:eastAsia="黑体"/>
      <w:sz w:val="32"/>
    </w:rPr>
  </w:style>
  <w:style w:type="paragraph" w:styleId="4">
    <w:name w:val="heading 3"/>
    <w:basedOn w:val="1"/>
    <w:next w:val="1"/>
    <w:semiHidden/>
    <w:unhideWhenUsed/>
    <w:qFormat/>
    <w:uiPriority w:val="0"/>
    <w:pPr>
      <w:keepNext/>
      <w:keepLines/>
      <w:spacing w:before="260" w:beforeLines="0" w:beforeAutospacing="0" w:after="260" w:afterLines="0" w:afterAutospacing="0" w:line="413" w:lineRule="auto"/>
      <w:outlineLvl w:val="2"/>
    </w:pPr>
    <w:rPr>
      <w:rFonts w:eastAsia="黑体" w:asciiTheme="minorAscii" w:hAnsiTheme="minorAscii"/>
      <w:sz w:val="32"/>
    </w:rPr>
  </w:style>
  <w:style w:type="paragraph" w:styleId="5">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仿宋_GB2312"/>
      <w:sz w:val="3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6">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2021-02-03T07:21:00Z</dcterms:created>
  <dc:creator>常新乐</dc:creator>
  <cp:lastModifiedBy>常新乐</cp:lastModifiedBy>
  <dcterms:modified xsi:type="dcterms:W3CDTF">2021-02-03T07:23:11Z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