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财务共享中心公开选聘岗位职责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和任职资格</w:t>
      </w:r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92"/>
        <w:gridCol w:w="732"/>
        <w:gridCol w:w="4679"/>
        <w:gridCol w:w="7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序号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  <w:t>工作地点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  <w:t>岗位职责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highlight w:val="none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highlight w:val="none"/>
                <w:lang w:eastAsia="zh-CN"/>
              </w:rPr>
              <w:t>运营服务部处长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负责集团财务共享的规划、建设、推广工作；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负责集团财务共享平台上线运营，做好系统运维和功能优化；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负责财务标准化体系落地实施及优化完善，实现集团财务数据集中共享；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负责区域共享中心运营质量管理和监督评价，推进共享中心服务质量提升。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相当于集团总部正处级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工作2年以上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未满2年的一般应当在副处级岗位和下一层级正职岗位工作累计5年以上，且在副处级岗位工作不得少于1年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10年以上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管理经验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有财务共享建设、运营工作经验优先；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及以上学历，具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高级职称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熟悉财经政策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法规，熟悉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全流程，对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财务管理和财务共享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总账报表部副处长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负责集团公司财务共享总账报表板块业务标准建立、维护，指导监督区域共享中心总账报表运营管理；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负责集团总部总账报表工作；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协助计财部制定会计政策、落实会计标准；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协助计财部编制集团合并月报和年度决算报表，发布会计数据。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在下一层级正职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3年以上，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未满3年的应当在下一层级正职岗位和副职岗位工作累计5年以上，且在下一层级正职岗位工作不得少于1年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； 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具有中级及以上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熟悉财经政策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和财务管理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计划统计部副处长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协助计财部开展集团公司综合统计和分析工作；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负责专业统计信息系统建设，相关统计数据、信息收集及上报；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配合完成国家布置的统计调查任务，保障统计数据信息全面、真实、可靠和及时；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负责协助集团计财部开展对各单位综合统计工作的指导、监督、检查、培训。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在下一层级正职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3年以上，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未满3年的应当在下一层级正职岗位和副职岗位工作累计5年以上，且在下一层级正职岗位工作不得少于1年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计划统计工作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具有中级及以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熟悉统计政策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法规，熟悉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专业统计指标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信息统计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对标分析部处长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构建管理分析指标库、分析模型，搭建集团公司专业化数据分析工具体系；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建立完善财务共享数字分析展示功能；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做好财务分析、JYKJ分析、对标分析和其他专业分析支持数据和信息支持；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组织开展有关专题分析工作，为集团经营决策提供辅助支持。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相当于集团总部正处级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工作2年以上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未满2年的一般应当在副处级岗位和下一层级正职岗位工作累计5年以上，且在副处级岗位工作不得少于1年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10年以上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有二级单位预算管理、三级单位财务总监工作经验优先；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及以上学历，具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高级职称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熟悉财经政策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法规，熟悉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全流程，对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财务管理和财务共享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境外事务部专责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协助拟订集团公司境外单位财务共享建设规划并推动实施；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协助指导区域共享中心境外共享业务；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协助指导有关单位境外财务信息系统建设，研究打通境外财务信息传输壁垒；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协助规范境外财务管理，开展境外财务分析。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，具有中级及以上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含国外认证的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熟悉财经政策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和境外财务管理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境外财务管理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不超过40周岁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计划统计部专责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协助开展集团公司综合统计和分析工作；</w:t>
            </w:r>
          </w:p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协助专业统计信息系统建设，相关统计数据、信息收集及上报；</w:t>
            </w:r>
          </w:p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配合完成国家布置的统计调查任务，保障统计数据信息全面、真实、可靠和及时；</w:t>
            </w:r>
          </w:p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协助开展对各单位综合统计工作的指导、监督、检查、培训。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计划统计工作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具有中级及以上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熟悉统计政策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和专业统计指标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信息统计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highlight w:val="none"/>
                <w:lang w:eastAsia="zh-CN"/>
              </w:rPr>
              <w:t>运营服务部专责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协助做好集团财务共享的规划、建设、推广工作；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协助做好集团财务共享平台上线运营，具体负责做好系统运维和功能优化；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协助做好财务标准化体系落地实施及优化完善，实现集团财务数据集中共享；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协助做好区域共享中心运营质量管理和监督评价，推进共享中心服务质量提升。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以上电力系统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工作经验，具有财务信息化管理工作经验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财务共享建设、运营工作经验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.大学本科及以上学历，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具有中级及以上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.熟悉财经政策法规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财务软件和财务信息系统，对财务信息化和财务共享有较深入的认识；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北京中心副主任（副处级）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协助北京中心主任管理北京中心日常工作；</w:t>
            </w:r>
          </w:p>
          <w:p>
            <w:pPr>
              <w:widowControl/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在集团共享中心指导下，协助组织北京区域共享中心规划、建设；</w:t>
            </w:r>
          </w:p>
          <w:p>
            <w:pPr>
              <w:widowControl/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协助组织北京中心会计核算、税务处理、报表编制、综合统计以及商旅报销等工作，为北京中心服务单位提供基础数据和标准化财务分析服务；</w:t>
            </w:r>
          </w:p>
          <w:p>
            <w:pPr>
              <w:widowControl/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协助北京中心主任开展北京中心组织和团队建设。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在下一层级正职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3年以上，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未满3年的应当在下一层级正职岗位和副职岗位工作累计5年以上，且在下一层级正职岗位工作不得少于1年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； 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10年以上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具有财务共享建设、运营工作经验优先；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，具有中级及以上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熟悉财经政策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财务管理和财务共享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上海中心常务副主任（正处级）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上海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协助上海中心主任主持上海中心日常工作；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在集团共享中心指导下，协助组织上海区域共享中心规划、建设；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负责组织上海中心会计核算、税务处理、报表编制、综合统计以及商旅报销等工作，为上海中心服务单位提供基础数据和标准化财务分析服务；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协助上海中心主任开展上海中心组织和团队建设。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相当于集团总部正处级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工作2年以上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未满2年的一般应当在副处级岗位和下一层级正职岗位工作累计5年以上，且在副处级岗位工作不得少于1年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10年左右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电力系统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具有财务共享建设、运营工作经验优先；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，具有高级及以上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或注册职业资格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熟悉财经政策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全流程，对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财务管理和财务共享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有较深入的认识；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5.年龄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63983"/>
    <w:multiLevelType w:val="singleLevel"/>
    <w:tmpl w:val="86763983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1">
    <w:nsid w:val="AA10D5A9"/>
    <w:multiLevelType w:val="singleLevel"/>
    <w:tmpl w:val="AA10D5A9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2">
    <w:nsid w:val="D041A379"/>
    <w:multiLevelType w:val="singleLevel"/>
    <w:tmpl w:val="D041A379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3">
    <w:nsid w:val="01459915"/>
    <w:multiLevelType w:val="singleLevel"/>
    <w:tmpl w:val="01459915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4">
    <w:nsid w:val="054556FE"/>
    <w:multiLevelType w:val="singleLevel"/>
    <w:tmpl w:val="054556FE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5">
    <w:nsid w:val="08302135"/>
    <w:multiLevelType w:val="singleLevel"/>
    <w:tmpl w:val="08302135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6">
    <w:nsid w:val="158A297A"/>
    <w:multiLevelType w:val="singleLevel"/>
    <w:tmpl w:val="158A297A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7">
    <w:nsid w:val="2B3DBA50"/>
    <w:multiLevelType w:val="singleLevel"/>
    <w:tmpl w:val="2B3DBA50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5"/>
    <w:rsid w:val="002A1DB0"/>
    <w:rsid w:val="00777215"/>
    <w:rsid w:val="014E10A8"/>
    <w:rsid w:val="0158215B"/>
    <w:rsid w:val="037D4066"/>
    <w:rsid w:val="044261BE"/>
    <w:rsid w:val="04E7377D"/>
    <w:rsid w:val="07790C9F"/>
    <w:rsid w:val="0819167A"/>
    <w:rsid w:val="085922DE"/>
    <w:rsid w:val="09B12310"/>
    <w:rsid w:val="0B4B5F08"/>
    <w:rsid w:val="0E435018"/>
    <w:rsid w:val="10482659"/>
    <w:rsid w:val="10647299"/>
    <w:rsid w:val="10EA46C0"/>
    <w:rsid w:val="14301C25"/>
    <w:rsid w:val="15707990"/>
    <w:rsid w:val="17A5420A"/>
    <w:rsid w:val="17AA0689"/>
    <w:rsid w:val="17C6372B"/>
    <w:rsid w:val="17CA4925"/>
    <w:rsid w:val="18306AD6"/>
    <w:rsid w:val="19B42C61"/>
    <w:rsid w:val="1A642B5B"/>
    <w:rsid w:val="1D8915BB"/>
    <w:rsid w:val="1E845B19"/>
    <w:rsid w:val="21DD0BC6"/>
    <w:rsid w:val="230B3205"/>
    <w:rsid w:val="23A57CE5"/>
    <w:rsid w:val="284779B5"/>
    <w:rsid w:val="294F3B2A"/>
    <w:rsid w:val="29B466F3"/>
    <w:rsid w:val="2C2A57F0"/>
    <w:rsid w:val="32872AB1"/>
    <w:rsid w:val="33F85469"/>
    <w:rsid w:val="341D3647"/>
    <w:rsid w:val="38D957B9"/>
    <w:rsid w:val="39206A07"/>
    <w:rsid w:val="39FF2CE2"/>
    <w:rsid w:val="3A4D6738"/>
    <w:rsid w:val="3BF65A30"/>
    <w:rsid w:val="3D83727B"/>
    <w:rsid w:val="424B1DDE"/>
    <w:rsid w:val="42BD5FC7"/>
    <w:rsid w:val="4428169D"/>
    <w:rsid w:val="4611279B"/>
    <w:rsid w:val="4714594F"/>
    <w:rsid w:val="48FF1C48"/>
    <w:rsid w:val="49656591"/>
    <w:rsid w:val="4B7F2C16"/>
    <w:rsid w:val="4D553C36"/>
    <w:rsid w:val="4E1C26FF"/>
    <w:rsid w:val="4E5A32CC"/>
    <w:rsid w:val="4EB152C3"/>
    <w:rsid w:val="4EF40CCD"/>
    <w:rsid w:val="50FD3D21"/>
    <w:rsid w:val="51F77021"/>
    <w:rsid w:val="52CE7302"/>
    <w:rsid w:val="582B5BAA"/>
    <w:rsid w:val="5A477471"/>
    <w:rsid w:val="5E031D3B"/>
    <w:rsid w:val="5E2A2E3C"/>
    <w:rsid w:val="62737E11"/>
    <w:rsid w:val="642B647F"/>
    <w:rsid w:val="6494262C"/>
    <w:rsid w:val="670A2716"/>
    <w:rsid w:val="67C03A5D"/>
    <w:rsid w:val="69D47004"/>
    <w:rsid w:val="6A2541CB"/>
    <w:rsid w:val="6D7775CF"/>
    <w:rsid w:val="6E021225"/>
    <w:rsid w:val="6FCA454D"/>
    <w:rsid w:val="7169094D"/>
    <w:rsid w:val="768B55F4"/>
    <w:rsid w:val="77CF76B5"/>
    <w:rsid w:val="77EB6FE6"/>
    <w:rsid w:val="78450574"/>
    <w:rsid w:val="7C711175"/>
    <w:rsid w:val="7F0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B7AAE-E057-41FF-83E2-F721E8DF4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2020-11-02T07:22:00Z</dcterms:created>
  <dc:creator>admin</dc:creator>
  <cp:lastModifiedBy>ZT</cp:lastModifiedBy>
  <cp:lastPrinted>2021-01-18T12:56:00Z</cp:lastPrinted>
  <dcterms:modified xsi:type="dcterms:W3CDTF">2021-01-23T03:40:21Z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