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</w:rPr>
        <w:t>护士执业资格考试报名学历审核要点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一、在我省中等职业学校或国家认可高等学校完成规定的全日制3年以上护理学类、助产专业课程学历，包括完成8个月以上护理临床实习，并取得相应学历证书。可报考护士执业资格考试。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二、2021年护理学类、助产专业的应届毕业生，必须由所在的学校组织报考护士执业资格考试。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三、不能报考护士执业资格考试的学历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1.非护理、助产专业的学历不能报考护士执业资格考试。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2.持湖北省外的中专学历，不能在我市报考护士执业资格考试，需回毕业学校所在地报名。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3.2002年10月31日之后的成教、自考、远程教育、网络教育等函授学历不能报考护士执业资格考试。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4.2007年及以前入学的一年制或两年制中职学历（2009年毕业中专学历，学历写着二年制；或是2008年毕业，学历写着一年制），不能报考护士执业资格考试。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5.五年一贯制或3+2的专科学历，如能提供专科毕业前的中专学历，可报考护士执业资格考试（中专学历和专科学历合并扫描上传）。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四、学历真假识别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1.专科或本科学历，登录中国高等教育学生信息网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"http://www.chsi.com.cn/"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  <w:shd w:val="clear" w:fill="FFFFFF"/>
        </w:rPr>
        <w:t>http://www.chsi.com.cn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识别真假。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2.湖北省中职学历，登陆湖北省中等职业学校毕业证书管理与查询系统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"http://hbzzxt.e21.cn/"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30"/>
          <w:szCs w:val="30"/>
          <w:u w:val="none"/>
          <w:bdr w:val="none" w:color="auto" w:sz="0" w:space="0"/>
          <w:shd w:val="clear" w:fill="FFFFFF"/>
        </w:rPr>
        <w:t>http://hbzzxt.e21.cn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识别真假。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3.网上无法验证学历，提供市教育局或省教育厅出具的学历证明。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2020-12-29T08:40:30Z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