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附件：2020年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红海湾经济开发区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遮浪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街道招聘党群服务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拟聘用人员名单</w:t>
      </w:r>
      <w:r>
        <w:rPr>
          <w:rFonts w:hint="default" w:ascii="仿宋" w:hAnsi="仿宋" w:eastAsia="仿宋" w:cs="仿宋"/>
          <w:sz w:val="32"/>
          <w:szCs w:val="32"/>
          <w:lang w:val="en-US"/>
        </w:rPr>
        <w:t>：</w:t>
      </w:r>
    </w:p>
    <w:tbl>
      <w:tblPr>
        <w:tblStyle w:val="2"/>
        <w:tblW w:w="781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3241"/>
        <w:gridCol w:w="27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翁汉浩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陈庄聪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詹昭兵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陈禹烨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3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刘晓静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4D95"/>
    <w:rsid w:val="0C3030EE"/>
    <w:rsid w:val="24A90178"/>
    <w:rsid w:val="2FBE2295"/>
    <w:rsid w:val="67B21131"/>
    <w:rsid w:val="7F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2020-12-26T10:26:00Z</dcterms:created>
  <dc:creator>雨影霜痕</dc:creator>
  <cp:lastModifiedBy>颜司凡</cp:lastModifiedBy>
  <cp:lastPrinted>2020-12-28T06:46:00Z</cp:lastPrinted>
  <dcterms:modified xsi:type="dcterms:W3CDTF">2020-12-29T04:58:12Z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