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C0" w:rsidRPr="00DD447E" w:rsidRDefault="0096170E">
      <w:pPr>
        <w:widowControl/>
        <w:jc w:val="center"/>
        <w:rPr>
          <w:rFonts w:ascii="仿宋_GB2312" w:eastAsia="仿宋_GB2312"/>
          <w:sz w:val="28"/>
          <w:szCs w:val="28"/>
        </w:rPr>
      </w:pPr>
      <w:r w:rsidRPr="00DD447E">
        <w:rPr>
          <w:rFonts w:ascii="仿宋_GB2312" w:eastAsia="仿宋_GB2312" w:hAnsi="仿宋_GB2312" w:cs="仿宋_GB2312" w:hint="eastAsia"/>
          <w:sz w:val="28"/>
          <w:szCs w:val="28"/>
        </w:rPr>
        <w:t>附件</w:t>
      </w:r>
      <w:r w:rsidR="006E0224" w:rsidRPr="00DD447E">
        <w:rPr>
          <w:rFonts w:ascii="仿宋_GB2312" w:eastAsia="仿宋_GB2312" w:hAnsi="仿宋_GB2312" w:cs="仿宋_GB2312" w:hint="eastAsia"/>
          <w:sz w:val="28"/>
          <w:szCs w:val="28"/>
        </w:rPr>
        <w:t>1</w:t>
      </w:r>
      <w:r w:rsidRPr="00DD447E">
        <w:rPr>
          <w:rFonts w:ascii="仿宋_GB2312" w:eastAsia="仿宋_GB2312" w:hAnsi="仿宋_GB2312" w:cs="仿宋_GB2312" w:hint="eastAsia"/>
          <w:sz w:val="28"/>
          <w:szCs w:val="28"/>
        </w:rPr>
        <w:t>：</w:t>
      </w:r>
      <w:r w:rsidRPr="00DD447E">
        <w:rPr>
          <w:rFonts w:ascii="仿宋_GB2312" w:eastAsia="仿宋_GB2312" w:hint="eastAsia"/>
          <w:sz w:val="28"/>
          <w:szCs w:val="28"/>
        </w:rPr>
        <w:t>长沙市望城区水利建设投资管理有限公司</w:t>
      </w:r>
      <w:r w:rsidRPr="00DD447E">
        <w:rPr>
          <w:rFonts w:ascii="仿宋_GB2312" w:eastAsia="仿宋_GB2312"/>
          <w:sz w:val="28"/>
          <w:szCs w:val="28"/>
        </w:rPr>
        <w:t>2020年第二批面向社会公开招聘</w:t>
      </w:r>
      <w:r w:rsidRPr="00DD447E">
        <w:rPr>
          <w:rFonts w:ascii="仿宋_GB2312" w:eastAsia="仿宋_GB2312" w:hint="eastAsia"/>
          <w:sz w:val="28"/>
          <w:szCs w:val="28"/>
        </w:rPr>
        <w:t>工作人员计划表</w:t>
      </w:r>
    </w:p>
    <w:tbl>
      <w:tblPr>
        <w:tblW w:w="13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274"/>
        <w:gridCol w:w="636"/>
        <w:gridCol w:w="4966"/>
        <w:gridCol w:w="5503"/>
        <w:gridCol w:w="952"/>
      </w:tblGrid>
      <w:tr w:rsidR="00DD447E" w:rsidRPr="00DD447E">
        <w:trPr>
          <w:trHeight w:val="596"/>
        </w:trPr>
        <w:tc>
          <w:tcPr>
            <w:tcW w:w="632" w:type="dxa"/>
            <w:shd w:val="clear" w:color="auto" w:fill="auto"/>
            <w:vAlign w:val="center"/>
          </w:tcPr>
          <w:p w:rsidR="00FC76C0" w:rsidRPr="00DD447E" w:rsidRDefault="0096170E">
            <w:pPr>
              <w:widowControl/>
              <w:jc w:val="center"/>
              <w:rPr>
                <w:rFonts w:ascii="微软雅黑" w:eastAsia="微软雅黑" w:hAnsi="微软雅黑" w:cs="Calibri"/>
                <w:b/>
                <w:bCs/>
                <w:kern w:val="0"/>
                <w:sz w:val="18"/>
                <w:szCs w:val="18"/>
              </w:rPr>
            </w:pPr>
            <w:r w:rsidRPr="00DD447E">
              <w:rPr>
                <w:rFonts w:ascii="微软雅黑" w:eastAsia="微软雅黑" w:hAnsi="微软雅黑" w:cs="Calibri" w:hint="eastAsia"/>
                <w:b/>
                <w:bCs/>
                <w:kern w:val="0"/>
                <w:sz w:val="18"/>
                <w:szCs w:val="18"/>
              </w:rPr>
              <w:t>序号</w:t>
            </w:r>
          </w:p>
        </w:tc>
        <w:tc>
          <w:tcPr>
            <w:tcW w:w="1274" w:type="dxa"/>
            <w:shd w:val="clear" w:color="auto" w:fill="auto"/>
            <w:vAlign w:val="center"/>
          </w:tcPr>
          <w:p w:rsidR="00FC76C0" w:rsidRPr="00DD447E" w:rsidRDefault="0096170E">
            <w:pPr>
              <w:widowControl/>
              <w:jc w:val="center"/>
              <w:rPr>
                <w:rFonts w:ascii="微软雅黑" w:eastAsia="微软雅黑" w:hAnsi="微软雅黑" w:cs="Calibri"/>
                <w:b/>
                <w:bCs/>
                <w:kern w:val="0"/>
                <w:sz w:val="18"/>
                <w:szCs w:val="18"/>
              </w:rPr>
            </w:pPr>
            <w:r w:rsidRPr="00DD447E">
              <w:rPr>
                <w:rFonts w:ascii="微软雅黑" w:eastAsia="微软雅黑" w:hAnsi="微软雅黑" w:cs="Calibri" w:hint="eastAsia"/>
                <w:b/>
                <w:bCs/>
                <w:kern w:val="0"/>
                <w:sz w:val="18"/>
                <w:szCs w:val="18"/>
              </w:rPr>
              <w:t>招聘岗位</w:t>
            </w:r>
          </w:p>
        </w:tc>
        <w:tc>
          <w:tcPr>
            <w:tcW w:w="636" w:type="dxa"/>
            <w:shd w:val="clear" w:color="auto" w:fill="auto"/>
            <w:vAlign w:val="center"/>
          </w:tcPr>
          <w:p w:rsidR="00FC76C0" w:rsidRPr="00DD447E" w:rsidRDefault="0096170E">
            <w:pPr>
              <w:widowControl/>
              <w:jc w:val="center"/>
              <w:rPr>
                <w:rFonts w:ascii="微软雅黑" w:eastAsia="微软雅黑" w:hAnsi="微软雅黑" w:cs="Calibri"/>
                <w:b/>
                <w:bCs/>
                <w:kern w:val="0"/>
                <w:sz w:val="18"/>
                <w:szCs w:val="18"/>
              </w:rPr>
            </w:pPr>
            <w:r w:rsidRPr="00DD447E">
              <w:rPr>
                <w:rFonts w:ascii="微软雅黑" w:eastAsia="微软雅黑" w:hAnsi="微软雅黑" w:cs="Calibri" w:hint="eastAsia"/>
                <w:b/>
                <w:bCs/>
                <w:kern w:val="0"/>
                <w:sz w:val="18"/>
                <w:szCs w:val="18"/>
              </w:rPr>
              <w:t>招聘</w:t>
            </w:r>
          </w:p>
          <w:p w:rsidR="00FC76C0" w:rsidRPr="00DD447E" w:rsidRDefault="0096170E">
            <w:pPr>
              <w:widowControl/>
              <w:jc w:val="center"/>
              <w:rPr>
                <w:rFonts w:ascii="微软雅黑" w:eastAsia="微软雅黑" w:hAnsi="微软雅黑" w:cs="Calibri"/>
                <w:b/>
                <w:bCs/>
                <w:kern w:val="0"/>
                <w:sz w:val="18"/>
                <w:szCs w:val="18"/>
              </w:rPr>
            </w:pPr>
            <w:r w:rsidRPr="00DD447E">
              <w:rPr>
                <w:rFonts w:ascii="微软雅黑" w:eastAsia="微软雅黑" w:hAnsi="微软雅黑" w:cs="Calibri" w:hint="eastAsia"/>
                <w:b/>
                <w:bCs/>
                <w:kern w:val="0"/>
                <w:sz w:val="18"/>
                <w:szCs w:val="18"/>
              </w:rPr>
              <w:t>人数</w:t>
            </w:r>
          </w:p>
        </w:tc>
        <w:tc>
          <w:tcPr>
            <w:tcW w:w="4966" w:type="dxa"/>
            <w:shd w:val="clear" w:color="auto" w:fill="auto"/>
            <w:vAlign w:val="center"/>
          </w:tcPr>
          <w:p w:rsidR="00FC76C0" w:rsidRPr="00DD447E" w:rsidRDefault="0096170E">
            <w:pPr>
              <w:widowControl/>
              <w:jc w:val="center"/>
              <w:rPr>
                <w:rFonts w:ascii="微软雅黑" w:eastAsia="微软雅黑" w:hAnsi="微软雅黑" w:cs="Calibri"/>
                <w:b/>
                <w:bCs/>
                <w:kern w:val="0"/>
                <w:sz w:val="18"/>
                <w:szCs w:val="18"/>
              </w:rPr>
            </w:pPr>
            <w:r w:rsidRPr="00DD447E">
              <w:rPr>
                <w:rFonts w:ascii="微软雅黑" w:eastAsia="微软雅黑" w:hAnsi="微软雅黑" w:cs="Calibri" w:hint="eastAsia"/>
                <w:b/>
                <w:bCs/>
                <w:kern w:val="0"/>
                <w:sz w:val="18"/>
                <w:szCs w:val="18"/>
              </w:rPr>
              <w:t>主要岗位职责概述</w:t>
            </w:r>
          </w:p>
        </w:tc>
        <w:tc>
          <w:tcPr>
            <w:tcW w:w="5503" w:type="dxa"/>
            <w:shd w:val="clear" w:color="auto" w:fill="auto"/>
            <w:vAlign w:val="center"/>
          </w:tcPr>
          <w:p w:rsidR="00FC76C0" w:rsidRPr="00DD447E" w:rsidRDefault="0096170E">
            <w:pPr>
              <w:widowControl/>
              <w:jc w:val="center"/>
              <w:rPr>
                <w:rFonts w:ascii="微软雅黑" w:eastAsia="微软雅黑" w:hAnsi="微软雅黑" w:cs="Calibri"/>
                <w:b/>
                <w:bCs/>
                <w:kern w:val="0"/>
                <w:sz w:val="18"/>
                <w:szCs w:val="18"/>
              </w:rPr>
            </w:pPr>
            <w:r w:rsidRPr="00DD447E">
              <w:rPr>
                <w:rFonts w:ascii="微软雅黑" w:eastAsia="微软雅黑" w:hAnsi="微软雅黑" w:cs="Calibri" w:hint="eastAsia"/>
                <w:b/>
                <w:bCs/>
                <w:kern w:val="0"/>
                <w:sz w:val="18"/>
                <w:szCs w:val="18"/>
              </w:rPr>
              <w:t>任职要求</w:t>
            </w:r>
          </w:p>
        </w:tc>
        <w:tc>
          <w:tcPr>
            <w:tcW w:w="952" w:type="dxa"/>
            <w:shd w:val="clear" w:color="auto" w:fill="auto"/>
            <w:vAlign w:val="center"/>
          </w:tcPr>
          <w:p w:rsidR="00FC76C0" w:rsidRPr="00DD447E" w:rsidRDefault="0096170E">
            <w:pPr>
              <w:widowControl/>
              <w:jc w:val="center"/>
              <w:rPr>
                <w:rFonts w:ascii="微软雅黑" w:eastAsia="微软雅黑" w:hAnsi="微软雅黑" w:cs="Calibri"/>
                <w:b/>
                <w:bCs/>
                <w:kern w:val="0"/>
                <w:sz w:val="18"/>
                <w:szCs w:val="18"/>
              </w:rPr>
            </w:pPr>
            <w:r w:rsidRPr="00DD447E">
              <w:rPr>
                <w:rFonts w:ascii="微软雅黑" w:eastAsia="微软雅黑" w:hAnsi="微软雅黑" w:cs="Calibri" w:hint="eastAsia"/>
                <w:b/>
                <w:bCs/>
                <w:kern w:val="0"/>
                <w:sz w:val="18"/>
                <w:szCs w:val="18"/>
              </w:rPr>
              <w:t>薪资（万）</w:t>
            </w:r>
          </w:p>
        </w:tc>
      </w:tr>
      <w:tr w:rsidR="00DD447E" w:rsidRPr="00DD447E" w:rsidTr="00AB7569">
        <w:trPr>
          <w:trHeight w:val="3552"/>
        </w:trPr>
        <w:tc>
          <w:tcPr>
            <w:tcW w:w="632" w:type="dxa"/>
            <w:shd w:val="clear" w:color="auto" w:fill="auto"/>
            <w:vAlign w:val="center"/>
          </w:tcPr>
          <w:p w:rsidR="00FC76C0" w:rsidRPr="00DD447E" w:rsidRDefault="00817309">
            <w:pPr>
              <w:widowControl/>
              <w:jc w:val="center"/>
              <w:rPr>
                <w:rFonts w:ascii="微软雅黑" w:eastAsia="微软雅黑" w:hAnsi="微软雅黑" w:cs="Calibri"/>
                <w:kern w:val="0"/>
                <w:sz w:val="18"/>
                <w:szCs w:val="18"/>
              </w:rPr>
            </w:pPr>
            <w:r w:rsidRPr="00DD447E">
              <w:rPr>
                <w:rFonts w:ascii="微软雅黑" w:eastAsia="微软雅黑" w:hAnsi="微软雅黑" w:cs="Calibri"/>
                <w:kern w:val="0"/>
                <w:sz w:val="18"/>
                <w:szCs w:val="18"/>
              </w:rPr>
              <w:t>1</w:t>
            </w:r>
          </w:p>
        </w:tc>
        <w:tc>
          <w:tcPr>
            <w:tcW w:w="1274"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人力资源部负责人</w:t>
            </w:r>
          </w:p>
        </w:tc>
        <w:tc>
          <w:tcPr>
            <w:tcW w:w="636"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w:t>
            </w:r>
          </w:p>
        </w:tc>
        <w:tc>
          <w:tcPr>
            <w:tcW w:w="4966" w:type="dxa"/>
            <w:shd w:val="clear" w:color="auto" w:fill="auto"/>
            <w:vAlign w:val="center"/>
          </w:tcPr>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1.根据公司发展战略和经营管理目标，建立、完善和持续改进公司本部与子公司人力资源管控模式；</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2.制定公司中长期人力资源战略及规划；</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3.制定、优化各项人力资源政策，并监督各子公司实施情况；</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4.负责公司本部人员、各子公司中层及以上管理人员的招募、评估、绩效管理等。</w:t>
            </w:r>
          </w:p>
        </w:tc>
        <w:tc>
          <w:tcPr>
            <w:tcW w:w="5503" w:type="dxa"/>
            <w:shd w:val="clear" w:color="auto" w:fill="auto"/>
            <w:vAlign w:val="center"/>
          </w:tcPr>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1.全日制本科及以上学历，企业管理、心理学、人力资源管理等相关专业；</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2.年龄40周岁及以下（1980年5月1日以后出生）；</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3.6年以上人力资源工作经验，其中3年以上集团型企业人力资源部门负责人工作背景，有中级以上人力资源管理师职称；</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4.受过企业管理、心理学、人力资源管理、法律知识等一个或多个培训掌握先进的人力资源管理理念和工具，具有人力资源规划、薪酬体系设计、绩效考核管理、培训体系建立、员工职业生涯规划的专业知识和操作经验，熟悉国家及地方相关法律法规及政策；</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5.工作严谨、思路清晰、讲求效率、勤于学习。</w:t>
            </w:r>
          </w:p>
        </w:tc>
        <w:tc>
          <w:tcPr>
            <w:tcW w:w="952"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w:t>
            </w:r>
            <w:r w:rsidR="00E07835">
              <w:rPr>
                <w:rFonts w:ascii="微软雅黑" w:eastAsia="微软雅黑" w:hAnsi="微软雅黑" w:cs="Calibri"/>
                <w:kern w:val="0"/>
                <w:sz w:val="18"/>
                <w:szCs w:val="18"/>
              </w:rPr>
              <w:t>6</w:t>
            </w:r>
            <w:r w:rsidR="00E07835">
              <w:rPr>
                <w:rFonts w:ascii="微软雅黑" w:eastAsia="微软雅黑" w:hAnsi="微软雅黑" w:cs="Calibri" w:hint="eastAsia"/>
                <w:kern w:val="0"/>
                <w:sz w:val="18"/>
                <w:szCs w:val="18"/>
              </w:rPr>
              <w:t>-2</w:t>
            </w:r>
            <w:r w:rsidR="00E07835">
              <w:rPr>
                <w:rFonts w:ascii="微软雅黑" w:eastAsia="微软雅黑" w:hAnsi="微软雅黑" w:cs="Calibri"/>
                <w:kern w:val="0"/>
                <w:sz w:val="18"/>
                <w:szCs w:val="18"/>
              </w:rPr>
              <w:t>0</w:t>
            </w:r>
          </w:p>
        </w:tc>
      </w:tr>
      <w:tr w:rsidR="00DD447E" w:rsidRPr="00DD447E">
        <w:trPr>
          <w:trHeight w:val="850"/>
        </w:trPr>
        <w:tc>
          <w:tcPr>
            <w:tcW w:w="632" w:type="dxa"/>
            <w:shd w:val="clear" w:color="auto" w:fill="auto"/>
            <w:vAlign w:val="center"/>
          </w:tcPr>
          <w:p w:rsidR="00FC76C0" w:rsidRPr="00DD447E" w:rsidRDefault="00817309">
            <w:pPr>
              <w:widowControl/>
              <w:jc w:val="center"/>
              <w:rPr>
                <w:rFonts w:ascii="微软雅黑" w:eastAsia="微软雅黑" w:hAnsi="微软雅黑" w:cs="Calibri"/>
                <w:kern w:val="0"/>
                <w:sz w:val="18"/>
                <w:szCs w:val="18"/>
              </w:rPr>
            </w:pPr>
            <w:r w:rsidRPr="00DD447E">
              <w:rPr>
                <w:rFonts w:ascii="微软雅黑" w:eastAsia="微软雅黑" w:hAnsi="微软雅黑" w:cs="Calibri"/>
                <w:kern w:val="0"/>
                <w:sz w:val="18"/>
                <w:szCs w:val="18"/>
              </w:rPr>
              <w:t>2</w:t>
            </w:r>
          </w:p>
        </w:tc>
        <w:tc>
          <w:tcPr>
            <w:tcW w:w="1274"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风控审计部负责人</w:t>
            </w:r>
          </w:p>
        </w:tc>
        <w:tc>
          <w:tcPr>
            <w:tcW w:w="636"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w:t>
            </w:r>
          </w:p>
        </w:tc>
        <w:tc>
          <w:tcPr>
            <w:tcW w:w="4966" w:type="dxa"/>
            <w:shd w:val="clear" w:color="auto" w:fill="auto"/>
            <w:vAlign w:val="center"/>
          </w:tcPr>
          <w:p w:rsidR="00AB7569" w:rsidRPr="00DD447E" w:rsidRDefault="00AB7569">
            <w:pPr>
              <w:widowControl/>
              <w:jc w:val="left"/>
              <w:rPr>
                <w:rFonts w:ascii="微软雅黑" w:eastAsia="微软雅黑" w:hAnsi="微软雅黑" w:cs="Calibri"/>
                <w:kern w:val="0"/>
                <w:sz w:val="18"/>
                <w:szCs w:val="18"/>
              </w:rPr>
            </w:pP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1.负责公司本部及子公司业务合法、合规性审核和商务合同内审把关；</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2.控制与防范公司在经营管理中的各类风险；</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3.负责公司审计体系建设、内部审计管理、专项审计管理以及外部审计管理；</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4.负责对风险事件、突发事件进行后果评估，提出处理意见并组织应对、危机公关；</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5.负责公司诉讼，名誉损害责任追究，舆情监管；负责对公司各类合同履约情况的核查。</w:t>
            </w:r>
          </w:p>
          <w:p w:rsidR="00AB7569" w:rsidRPr="00DD447E" w:rsidRDefault="00AB7569">
            <w:pPr>
              <w:widowControl/>
              <w:jc w:val="left"/>
              <w:rPr>
                <w:rFonts w:ascii="微软雅黑" w:eastAsia="微软雅黑" w:hAnsi="微软雅黑" w:cs="Calibri"/>
                <w:kern w:val="0"/>
                <w:sz w:val="18"/>
                <w:szCs w:val="18"/>
              </w:rPr>
            </w:pPr>
          </w:p>
        </w:tc>
        <w:tc>
          <w:tcPr>
            <w:tcW w:w="5503" w:type="dxa"/>
            <w:shd w:val="clear" w:color="auto" w:fill="auto"/>
            <w:vAlign w:val="center"/>
          </w:tcPr>
          <w:p w:rsidR="00EB53C3"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1.全日制本科及以上学历，审计、会计及法律等相关专业，有司法职业资格证书的优先；</w:t>
            </w:r>
          </w:p>
          <w:p w:rsidR="00EB53C3"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2.年龄45周岁及以下（1975年5月1日以后出生）；</w:t>
            </w:r>
          </w:p>
          <w:p w:rsidR="00EB53C3"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3.具有5年以上专职内部审计及相关专业工作经验，有较强的内部控制管理能力，内部审计团队建设能力，熟悉企业内部控制管理，律师、高级审计师或国际注册内部审计师优先；</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4.具有高度的责任心和敬业精神；具有团队意识；忠诚度、积极性、主动性高。</w:t>
            </w:r>
          </w:p>
        </w:tc>
        <w:tc>
          <w:tcPr>
            <w:tcW w:w="952" w:type="dxa"/>
            <w:shd w:val="clear" w:color="auto" w:fill="auto"/>
            <w:vAlign w:val="center"/>
          </w:tcPr>
          <w:p w:rsidR="00FC76C0" w:rsidRPr="00DD447E" w:rsidRDefault="00E07835">
            <w:pPr>
              <w:widowControl/>
              <w:jc w:val="center"/>
              <w:rPr>
                <w:rFonts w:ascii="微软雅黑" w:eastAsia="微软雅黑" w:hAnsi="微软雅黑" w:cs="Calibri"/>
                <w:kern w:val="0"/>
                <w:sz w:val="18"/>
                <w:szCs w:val="18"/>
              </w:rPr>
            </w:pPr>
            <w:r>
              <w:rPr>
                <w:rFonts w:ascii="微软雅黑" w:eastAsia="微软雅黑" w:hAnsi="微软雅黑" w:cs="Calibri"/>
                <w:kern w:val="0"/>
                <w:sz w:val="18"/>
                <w:szCs w:val="18"/>
              </w:rPr>
              <w:t>18</w:t>
            </w:r>
            <w:r>
              <w:rPr>
                <w:rFonts w:ascii="微软雅黑" w:eastAsia="微软雅黑" w:hAnsi="微软雅黑" w:cs="Calibri" w:hint="eastAsia"/>
                <w:kern w:val="0"/>
                <w:sz w:val="18"/>
                <w:szCs w:val="18"/>
              </w:rPr>
              <w:t>-2</w:t>
            </w:r>
            <w:r>
              <w:rPr>
                <w:rFonts w:ascii="微软雅黑" w:eastAsia="微软雅黑" w:hAnsi="微软雅黑" w:cs="Calibri"/>
                <w:kern w:val="0"/>
                <w:sz w:val="18"/>
                <w:szCs w:val="18"/>
              </w:rPr>
              <w:t>2</w:t>
            </w:r>
            <w:bookmarkStart w:id="0" w:name="_GoBack"/>
            <w:bookmarkEnd w:id="0"/>
          </w:p>
        </w:tc>
      </w:tr>
      <w:tr w:rsidR="00DD447E" w:rsidRPr="00DD447E">
        <w:trPr>
          <w:trHeight w:val="1577"/>
        </w:trPr>
        <w:tc>
          <w:tcPr>
            <w:tcW w:w="632" w:type="dxa"/>
            <w:shd w:val="clear" w:color="auto" w:fill="auto"/>
            <w:vAlign w:val="center"/>
          </w:tcPr>
          <w:p w:rsidR="00FC76C0" w:rsidRPr="00DD447E" w:rsidRDefault="00817309">
            <w:pPr>
              <w:widowControl/>
              <w:jc w:val="center"/>
              <w:rPr>
                <w:rFonts w:ascii="微软雅黑" w:eastAsia="微软雅黑" w:hAnsi="微软雅黑" w:cs="Calibri"/>
                <w:kern w:val="0"/>
                <w:sz w:val="18"/>
                <w:szCs w:val="18"/>
              </w:rPr>
            </w:pPr>
            <w:r w:rsidRPr="00DD447E">
              <w:rPr>
                <w:rFonts w:ascii="微软雅黑" w:eastAsia="微软雅黑" w:hAnsi="微软雅黑" w:cs="Calibri"/>
                <w:kern w:val="0"/>
                <w:sz w:val="18"/>
                <w:szCs w:val="18"/>
              </w:rPr>
              <w:lastRenderedPageBreak/>
              <w:t>3</w:t>
            </w:r>
          </w:p>
        </w:tc>
        <w:tc>
          <w:tcPr>
            <w:tcW w:w="1274"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风控审计部主管</w:t>
            </w:r>
          </w:p>
        </w:tc>
        <w:tc>
          <w:tcPr>
            <w:tcW w:w="636"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w:t>
            </w:r>
          </w:p>
        </w:tc>
        <w:tc>
          <w:tcPr>
            <w:tcW w:w="4966" w:type="dxa"/>
            <w:shd w:val="clear" w:color="auto" w:fill="auto"/>
            <w:vAlign w:val="center"/>
          </w:tcPr>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kern w:val="0"/>
                <w:sz w:val="18"/>
                <w:szCs w:val="18"/>
              </w:rPr>
              <w:t>1</w:t>
            </w:r>
            <w:r w:rsidRPr="00DD447E">
              <w:rPr>
                <w:rFonts w:ascii="微软雅黑" w:eastAsia="微软雅黑" w:hAnsi="微软雅黑" w:cs="Calibri" w:hint="eastAsia"/>
                <w:kern w:val="0"/>
                <w:sz w:val="18"/>
                <w:szCs w:val="18"/>
              </w:rPr>
              <w:t>.</w:t>
            </w:r>
            <w:r w:rsidRPr="00DD447E">
              <w:rPr>
                <w:rFonts w:ascii="微软雅黑" w:eastAsia="微软雅黑" w:hAnsi="微软雅黑" w:cs="Calibri"/>
                <w:kern w:val="0"/>
                <w:sz w:val="18"/>
                <w:szCs w:val="18"/>
              </w:rPr>
              <w:t>协助推进公司内部控制和风险控制体系建设，制定内部控制和风险控制管理政策、建设规划和实施方案；</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kern w:val="0"/>
                <w:sz w:val="18"/>
                <w:szCs w:val="18"/>
              </w:rPr>
              <w:t>2</w:t>
            </w:r>
            <w:r w:rsidRPr="00DD447E">
              <w:rPr>
                <w:rFonts w:ascii="微软雅黑" w:eastAsia="微软雅黑" w:hAnsi="微软雅黑" w:cs="Calibri" w:hint="eastAsia"/>
                <w:kern w:val="0"/>
                <w:sz w:val="18"/>
                <w:szCs w:val="18"/>
              </w:rPr>
              <w:t>.</w:t>
            </w:r>
            <w:r w:rsidRPr="00DD447E">
              <w:rPr>
                <w:rFonts w:ascii="微软雅黑" w:eastAsia="微软雅黑" w:hAnsi="微软雅黑" w:cs="Calibri"/>
                <w:kern w:val="0"/>
                <w:sz w:val="18"/>
                <w:szCs w:val="18"/>
              </w:rPr>
              <w:t>协助指导公司各部门、成员企业开展内部控制和风险控制管理工作，包括建立和完善内控制度、编制内控手册和实施内控测评；</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kern w:val="0"/>
                <w:sz w:val="18"/>
                <w:szCs w:val="18"/>
              </w:rPr>
              <w:t>3</w:t>
            </w:r>
            <w:r w:rsidRPr="00DD447E">
              <w:rPr>
                <w:rFonts w:ascii="微软雅黑" w:eastAsia="微软雅黑" w:hAnsi="微软雅黑" w:cs="Calibri" w:hint="eastAsia"/>
                <w:kern w:val="0"/>
                <w:sz w:val="18"/>
                <w:szCs w:val="18"/>
              </w:rPr>
              <w:t>.</w:t>
            </w:r>
            <w:r w:rsidRPr="00DD447E">
              <w:rPr>
                <w:rFonts w:ascii="微软雅黑" w:eastAsia="微软雅黑" w:hAnsi="微软雅黑" w:cs="Calibri"/>
                <w:kern w:val="0"/>
                <w:sz w:val="18"/>
                <w:szCs w:val="18"/>
              </w:rPr>
              <w:t>按照上市公司内控管理规范，组织实施公司内部控制定期检查、评估内部控制实施效果，出具内控检查报告和内控评价报告；</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kern w:val="0"/>
                <w:sz w:val="18"/>
                <w:szCs w:val="18"/>
              </w:rPr>
              <w:t>4</w:t>
            </w:r>
            <w:r w:rsidRPr="00DD447E">
              <w:rPr>
                <w:rFonts w:ascii="微软雅黑" w:eastAsia="微软雅黑" w:hAnsi="微软雅黑" w:cs="Calibri" w:hint="eastAsia"/>
                <w:kern w:val="0"/>
                <w:sz w:val="18"/>
                <w:szCs w:val="18"/>
              </w:rPr>
              <w:t>.</w:t>
            </w:r>
            <w:r w:rsidRPr="00DD447E">
              <w:rPr>
                <w:rFonts w:ascii="微软雅黑" w:eastAsia="微软雅黑" w:hAnsi="微软雅黑" w:cs="Calibri"/>
                <w:kern w:val="0"/>
                <w:sz w:val="18"/>
                <w:szCs w:val="18"/>
              </w:rPr>
              <w:t>监督公司各部门、成员企业内控、风控的执行情况，组织实施内控系统性测评和内部控制专项审计检查；</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kern w:val="0"/>
                <w:sz w:val="18"/>
                <w:szCs w:val="18"/>
              </w:rPr>
              <w:t>5</w:t>
            </w:r>
            <w:r w:rsidRPr="00DD447E">
              <w:rPr>
                <w:rFonts w:ascii="微软雅黑" w:eastAsia="微软雅黑" w:hAnsi="微软雅黑" w:cs="Calibri" w:hint="eastAsia"/>
                <w:kern w:val="0"/>
                <w:sz w:val="18"/>
                <w:szCs w:val="18"/>
              </w:rPr>
              <w:t>.</w:t>
            </w:r>
            <w:r w:rsidRPr="00DD447E">
              <w:rPr>
                <w:rFonts w:ascii="微软雅黑" w:eastAsia="微软雅黑" w:hAnsi="微软雅黑" w:cs="Calibri"/>
                <w:kern w:val="0"/>
                <w:sz w:val="18"/>
                <w:szCs w:val="18"/>
              </w:rPr>
              <w:t>组织实施经济责任审计、运营审计及其他专项审计项目；</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kern w:val="0"/>
                <w:sz w:val="18"/>
                <w:szCs w:val="18"/>
              </w:rPr>
              <w:t>6</w:t>
            </w:r>
            <w:r w:rsidRPr="00DD447E">
              <w:rPr>
                <w:rFonts w:ascii="微软雅黑" w:eastAsia="微软雅黑" w:hAnsi="微软雅黑" w:cs="Calibri" w:hint="eastAsia"/>
                <w:kern w:val="0"/>
                <w:sz w:val="18"/>
                <w:szCs w:val="18"/>
              </w:rPr>
              <w:t>.</w:t>
            </w:r>
            <w:r w:rsidRPr="00DD447E">
              <w:rPr>
                <w:rFonts w:ascii="微软雅黑" w:eastAsia="微软雅黑" w:hAnsi="微软雅黑" w:cs="Calibri"/>
                <w:kern w:val="0"/>
                <w:sz w:val="18"/>
                <w:szCs w:val="18"/>
              </w:rPr>
              <w:t>监控成员企业运营发展的合规性，对重大投资、重要物资采购、工程建设等重要经济活动实施过程监督并发表审核意见，提出风险防范措施。</w:t>
            </w:r>
          </w:p>
        </w:tc>
        <w:tc>
          <w:tcPr>
            <w:tcW w:w="5503" w:type="dxa"/>
            <w:shd w:val="clear" w:color="auto" w:fill="auto"/>
            <w:vAlign w:val="center"/>
          </w:tcPr>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1.全日制本科及以上学历，法律、财会、审计等相关专业；</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2.年龄40周岁及以下（1980年5月1日以后出生）；</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3.3年以上企业内控或审计或法务相关工作经验，具有国有企业内部控制与风险管理工作经验优先；</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4.熟练掌握财务、审计、税务、内控体系和风险管理等相关专业知识；</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5.具有良好的组织协调能力和团队合作精神。</w:t>
            </w:r>
          </w:p>
        </w:tc>
        <w:tc>
          <w:tcPr>
            <w:tcW w:w="952"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12-16</w:t>
            </w:r>
          </w:p>
        </w:tc>
      </w:tr>
      <w:tr w:rsidR="00DD447E" w:rsidRPr="00DD447E">
        <w:trPr>
          <w:trHeight w:val="1314"/>
        </w:trPr>
        <w:tc>
          <w:tcPr>
            <w:tcW w:w="632" w:type="dxa"/>
            <w:shd w:val="clear" w:color="auto" w:fill="auto"/>
            <w:vAlign w:val="center"/>
          </w:tcPr>
          <w:p w:rsidR="00FC76C0" w:rsidRPr="00DD447E" w:rsidRDefault="00817309">
            <w:pPr>
              <w:widowControl/>
              <w:jc w:val="center"/>
              <w:rPr>
                <w:rFonts w:ascii="微软雅黑" w:eastAsia="微软雅黑" w:hAnsi="微软雅黑" w:cs="Calibri"/>
                <w:kern w:val="0"/>
                <w:sz w:val="18"/>
                <w:szCs w:val="18"/>
              </w:rPr>
            </w:pPr>
            <w:r w:rsidRPr="00DD447E">
              <w:rPr>
                <w:rFonts w:ascii="微软雅黑" w:eastAsia="微软雅黑" w:hAnsi="微软雅黑" w:cs="Calibri"/>
                <w:kern w:val="0"/>
                <w:sz w:val="18"/>
                <w:szCs w:val="18"/>
              </w:rPr>
              <w:t>4</w:t>
            </w:r>
          </w:p>
        </w:tc>
        <w:tc>
          <w:tcPr>
            <w:tcW w:w="1274"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投资发展部副部长</w:t>
            </w:r>
          </w:p>
        </w:tc>
        <w:tc>
          <w:tcPr>
            <w:tcW w:w="636"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w:t>
            </w:r>
          </w:p>
        </w:tc>
        <w:tc>
          <w:tcPr>
            <w:tcW w:w="4966" w:type="dxa"/>
            <w:shd w:val="clear" w:color="auto" w:fill="auto"/>
            <w:vAlign w:val="center"/>
          </w:tcPr>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kern w:val="0"/>
                <w:sz w:val="18"/>
                <w:szCs w:val="18"/>
              </w:rPr>
              <w:t>1</w:t>
            </w:r>
            <w:r w:rsidRPr="00DD447E">
              <w:rPr>
                <w:rFonts w:ascii="微软雅黑" w:eastAsia="微软雅黑" w:hAnsi="微软雅黑" w:cs="Calibri" w:hint="eastAsia"/>
                <w:kern w:val="0"/>
                <w:sz w:val="18"/>
                <w:szCs w:val="18"/>
              </w:rPr>
              <w:t>.</w:t>
            </w:r>
            <w:r w:rsidRPr="00DD447E">
              <w:rPr>
                <w:rFonts w:ascii="微软雅黑" w:eastAsia="微软雅黑" w:hAnsi="微软雅黑" w:cs="Calibri"/>
                <w:kern w:val="0"/>
                <w:sz w:val="18"/>
                <w:szCs w:val="18"/>
              </w:rPr>
              <w:t>负责公司投资项目的行业分析、市场调研、数据收集和投资分析（合作方背调、财务测算、风险分析），准备相关文件，编制投资调研报告、可行性研究报告等相关内容，并拟订项目实施计划，按流程审批；</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kern w:val="0"/>
                <w:sz w:val="18"/>
                <w:szCs w:val="18"/>
              </w:rPr>
              <w:t>2</w:t>
            </w:r>
            <w:r w:rsidRPr="00DD447E">
              <w:rPr>
                <w:rFonts w:ascii="微软雅黑" w:eastAsia="微软雅黑" w:hAnsi="微软雅黑" w:cs="Calibri" w:hint="eastAsia"/>
                <w:kern w:val="0"/>
                <w:sz w:val="18"/>
                <w:szCs w:val="18"/>
              </w:rPr>
              <w:t>.</w:t>
            </w:r>
            <w:r w:rsidRPr="00DD447E">
              <w:rPr>
                <w:rFonts w:ascii="微软雅黑" w:eastAsia="微软雅黑" w:hAnsi="微软雅黑" w:cs="Calibri"/>
                <w:kern w:val="0"/>
                <w:sz w:val="18"/>
                <w:szCs w:val="18"/>
              </w:rPr>
              <w:t>拟定商务协议，参与投资项目商务谈判，建立并保持与合作伙伴、主管部门和潜在客户的良好业务关系；</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kern w:val="0"/>
                <w:sz w:val="18"/>
                <w:szCs w:val="18"/>
              </w:rPr>
              <w:t>3</w:t>
            </w:r>
            <w:r w:rsidRPr="00DD447E">
              <w:rPr>
                <w:rFonts w:ascii="微软雅黑" w:eastAsia="微软雅黑" w:hAnsi="微软雅黑" w:cs="Calibri" w:hint="eastAsia"/>
                <w:kern w:val="0"/>
                <w:sz w:val="18"/>
                <w:szCs w:val="18"/>
              </w:rPr>
              <w:t>.</w:t>
            </w:r>
            <w:r w:rsidRPr="00DD447E">
              <w:rPr>
                <w:rFonts w:ascii="微软雅黑" w:eastAsia="微软雅黑" w:hAnsi="微软雅黑" w:cs="Calibri"/>
                <w:kern w:val="0"/>
                <w:sz w:val="18"/>
                <w:szCs w:val="18"/>
              </w:rPr>
              <w:t>参与直接或间接管理投资合作项目，监控和分析投资项目的经营管理，并及时提出业务拓展和管理改进的建议；</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kern w:val="0"/>
                <w:sz w:val="18"/>
                <w:szCs w:val="18"/>
              </w:rPr>
              <w:t>4</w:t>
            </w:r>
            <w:r w:rsidRPr="00DD447E">
              <w:rPr>
                <w:rFonts w:ascii="微软雅黑" w:eastAsia="微软雅黑" w:hAnsi="微软雅黑" w:cs="Calibri" w:hint="eastAsia"/>
                <w:kern w:val="0"/>
                <w:sz w:val="18"/>
                <w:szCs w:val="18"/>
              </w:rPr>
              <w:t>.</w:t>
            </w:r>
            <w:r w:rsidRPr="00DD447E">
              <w:rPr>
                <w:rFonts w:ascii="微软雅黑" w:eastAsia="微软雅黑" w:hAnsi="微软雅黑" w:cs="Calibri"/>
                <w:kern w:val="0"/>
                <w:sz w:val="18"/>
                <w:szCs w:val="18"/>
              </w:rPr>
              <w:t>负责相关文件材料起草工作。</w:t>
            </w:r>
          </w:p>
        </w:tc>
        <w:tc>
          <w:tcPr>
            <w:tcW w:w="5503" w:type="dxa"/>
            <w:shd w:val="clear" w:color="auto" w:fill="auto"/>
            <w:vAlign w:val="center"/>
          </w:tcPr>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1.全日制本科及以上学历，金融、投资、经济管理类等相关专业；</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2.年龄40周岁及以下（1980年5月1日以后出生）；</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3.具备5年片区规划开发、招商引资工作经验，具备敏锐的市场眼光，较强的战略规划能力</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4.综合素质强，具有良好的个人品质、职业道德、沟通和协调管理能力。</w:t>
            </w:r>
          </w:p>
        </w:tc>
        <w:tc>
          <w:tcPr>
            <w:tcW w:w="952"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16-20</w:t>
            </w:r>
          </w:p>
        </w:tc>
      </w:tr>
      <w:tr w:rsidR="00DD447E" w:rsidRPr="00DD447E">
        <w:trPr>
          <w:trHeight w:val="1577"/>
        </w:trPr>
        <w:tc>
          <w:tcPr>
            <w:tcW w:w="632" w:type="dxa"/>
            <w:shd w:val="clear" w:color="auto" w:fill="auto"/>
            <w:vAlign w:val="center"/>
          </w:tcPr>
          <w:p w:rsidR="00FC76C0" w:rsidRPr="00DD447E" w:rsidRDefault="00817309">
            <w:pPr>
              <w:widowControl/>
              <w:jc w:val="center"/>
              <w:rPr>
                <w:rFonts w:ascii="微软雅黑" w:eastAsia="微软雅黑" w:hAnsi="微软雅黑" w:cs="Calibri"/>
                <w:kern w:val="0"/>
                <w:sz w:val="18"/>
                <w:szCs w:val="18"/>
              </w:rPr>
            </w:pPr>
            <w:r w:rsidRPr="00DD447E">
              <w:rPr>
                <w:rFonts w:ascii="微软雅黑" w:eastAsia="微软雅黑" w:hAnsi="微软雅黑" w:cs="Calibri"/>
                <w:kern w:val="0"/>
                <w:sz w:val="18"/>
                <w:szCs w:val="18"/>
              </w:rPr>
              <w:t>5</w:t>
            </w:r>
          </w:p>
        </w:tc>
        <w:tc>
          <w:tcPr>
            <w:tcW w:w="1274"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行政管理部综合文秘</w:t>
            </w:r>
          </w:p>
        </w:tc>
        <w:tc>
          <w:tcPr>
            <w:tcW w:w="636"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w:t>
            </w:r>
          </w:p>
        </w:tc>
        <w:tc>
          <w:tcPr>
            <w:tcW w:w="4966" w:type="dxa"/>
            <w:shd w:val="clear" w:color="auto" w:fill="auto"/>
            <w:vAlign w:val="center"/>
          </w:tcPr>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1.主要负责撰写公司各类文字材料，以及领导讲话、会议材料文字的起草；</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2.负责公司董事会、各类办公会议的记录、整理，出具会议纪要；</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3.负责公司外部宣传材料的撰写与报送，公司网站、微信等媒体的维护与衔接。</w:t>
            </w:r>
          </w:p>
        </w:tc>
        <w:tc>
          <w:tcPr>
            <w:tcW w:w="5503" w:type="dxa"/>
            <w:shd w:val="clear" w:color="auto" w:fill="auto"/>
            <w:vAlign w:val="center"/>
          </w:tcPr>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1.全日制本科及以上学历，中文类等相关专业；</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2.年龄35周岁及以下（1985年5月1日以后出生）；</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3.具有2年以上国企文字秘书岗位工作经验，具备较强的文字功底，熟悉公文写作技巧</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4.熟练使用办公软件，熟悉各类融媒体编辑软件；</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5.有良好的个人品质、职业道德、沟通和协调能力。</w:t>
            </w:r>
          </w:p>
        </w:tc>
        <w:tc>
          <w:tcPr>
            <w:tcW w:w="952"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w:t>
            </w:r>
            <w:r w:rsidRPr="00DD447E">
              <w:rPr>
                <w:rFonts w:ascii="微软雅黑" w:eastAsia="微软雅黑" w:hAnsi="微软雅黑" w:cs="Calibri"/>
                <w:kern w:val="0"/>
                <w:sz w:val="18"/>
                <w:szCs w:val="18"/>
              </w:rPr>
              <w:t>0</w:t>
            </w:r>
            <w:r w:rsidRPr="00DD447E">
              <w:rPr>
                <w:rFonts w:ascii="微软雅黑" w:eastAsia="微软雅黑" w:hAnsi="微软雅黑" w:cs="Calibri" w:hint="eastAsia"/>
                <w:kern w:val="0"/>
                <w:sz w:val="18"/>
                <w:szCs w:val="18"/>
              </w:rPr>
              <w:t>-14</w:t>
            </w:r>
          </w:p>
        </w:tc>
      </w:tr>
      <w:tr w:rsidR="00DD447E" w:rsidRPr="00DD447E">
        <w:trPr>
          <w:trHeight w:val="1860"/>
        </w:trPr>
        <w:tc>
          <w:tcPr>
            <w:tcW w:w="632" w:type="dxa"/>
            <w:shd w:val="clear" w:color="auto" w:fill="auto"/>
            <w:vAlign w:val="center"/>
          </w:tcPr>
          <w:p w:rsidR="00FC76C0" w:rsidRPr="00DD447E" w:rsidRDefault="00817309">
            <w:pPr>
              <w:widowControl/>
              <w:jc w:val="center"/>
              <w:rPr>
                <w:rFonts w:ascii="微软雅黑" w:eastAsia="微软雅黑" w:hAnsi="微软雅黑" w:cs="Calibri"/>
                <w:kern w:val="0"/>
                <w:sz w:val="18"/>
                <w:szCs w:val="18"/>
              </w:rPr>
            </w:pPr>
            <w:r w:rsidRPr="00DD447E">
              <w:rPr>
                <w:rFonts w:ascii="微软雅黑" w:eastAsia="微软雅黑" w:hAnsi="微软雅黑" w:cs="Calibri"/>
                <w:kern w:val="0"/>
                <w:sz w:val="18"/>
                <w:szCs w:val="18"/>
              </w:rPr>
              <w:lastRenderedPageBreak/>
              <w:t>6</w:t>
            </w:r>
          </w:p>
        </w:tc>
        <w:tc>
          <w:tcPr>
            <w:tcW w:w="1274"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会计核算主管</w:t>
            </w:r>
          </w:p>
        </w:tc>
        <w:tc>
          <w:tcPr>
            <w:tcW w:w="636"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w:t>
            </w:r>
          </w:p>
        </w:tc>
        <w:tc>
          <w:tcPr>
            <w:tcW w:w="4966" w:type="dxa"/>
            <w:shd w:val="clear" w:color="auto" w:fill="auto"/>
            <w:vAlign w:val="center"/>
          </w:tcPr>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1.负责公司账务、银行、财税、审计等相关业务办理，负责指导下属子公司账务处理及财务科目设置；</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2.协助部门负责人对公司全面的经营计划、预算编制、下属子公司审计及考核表的管理；</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3.参与公司重点方案测算、审核并出具审核意见、过程管理及执行追踪，对方案可行性及执行结果进行深入财务分析报告。</w:t>
            </w:r>
          </w:p>
        </w:tc>
        <w:tc>
          <w:tcPr>
            <w:tcW w:w="5503" w:type="dxa"/>
            <w:shd w:val="clear" w:color="auto" w:fill="auto"/>
            <w:vAlign w:val="center"/>
          </w:tcPr>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1.全日制本科及以上学历，财会或金融类相关专业；</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2.年龄40周岁及以下（1980年5月1日以后出生）；</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3.在大中型国有企业或大、中型上市公司5年以上账务会计核算经验或大型会计师事务所3年以上从业经验，具有CPA证书；</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4.在大型国有企业担任过总账会计5年以上或拥有大型会计师事务所3年以上带队经验者优先。</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5.具有良好的个人品质、职业道德、沟通和协调能力，保密意识强。</w:t>
            </w:r>
          </w:p>
        </w:tc>
        <w:tc>
          <w:tcPr>
            <w:tcW w:w="952"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14-18</w:t>
            </w:r>
          </w:p>
        </w:tc>
      </w:tr>
      <w:tr w:rsidR="00DD447E" w:rsidRPr="00DD447E">
        <w:trPr>
          <w:trHeight w:val="850"/>
        </w:trPr>
        <w:tc>
          <w:tcPr>
            <w:tcW w:w="632" w:type="dxa"/>
            <w:shd w:val="clear" w:color="auto" w:fill="auto"/>
            <w:vAlign w:val="center"/>
          </w:tcPr>
          <w:p w:rsidR="00FC76C0" w:rsidRPr="00DD447E" w:rsidRDefault="00817309">
            <w:pPr>
              <w:widowControl/>
              <w:jc w:val="center"/>
              <w:rPr>
                <w:rFonts w:ascii="微软雅黑" w:eastAsia="微软雅黑" w:hAnsi="微软雅黑" w:cs="Calibri"/>
                <w:kern w:val="0"/>
                <w:sz w:val="18"/>
                <w:szCs w:val="18"/>
              </w:rPr>
            </w:pPr>
            <w:r w:rsidRPr="00DD447E">
              <w:rPr>
                <w:rFonts w:ascii="微软雅黑" w:eastAsia="微软雅黑" w:hAnsi="微软雅黑" w:cs="Calibri"/>
                <w:kern w:val="0"/>
                <w:sz w:val="18"/>
                <w:szCs w:val="18"/>
              </w:rPr>
              <w:t>7</w:t>
            </w:r>
          </w:p>
        </w:tc>
        <w:tc>
          <w:tcPr>
            <w:tcW w:w="1274"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资金预算主管</w:t>
            </w:r>
          </w:p>
        </w:tc>
        <w:tc>
          <w:tcPr>
            <w:tcW w:w="636"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w:t>
            </w:r>
          </w:p>
        </w:tc>
        <w:tc>
          <w:tcPr>
            <w:tcW w:w="4966" w:type="dxa"/>
            <w:shd w:val="clear" w:color="auto" w:fill="auto"/>
            <w:vAlign w:val="center"/>
          </w:tcPr>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1.负责公司年度预算的组织、编制、评审、调整及分解工作；</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2.负责公司年度投融资计划的编制和具体投融资方案中财务数据测算的编制；</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3.定期汇总、分析各部门编制的预算执行差异，考核各责任部门各项预算的执行成果，并及时调整预算建议案，保证成本目标和利润目标的实现；</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4.负责子公司纬地置业相关财务工作。</w:t>
            </w:r>
          </w:p>
        </w:tc>
        <w:tc>
          <w:tcPr>
            <w:tcW w:w="5503" w:type="dxa"/>
            <w:shd w:val="clear" w:color="auto" w:fill="auto"/>
            <w:vAlign w:val="center"/>
          </w:tcPr>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1.全日制本科及以上学历，财会或金融类相关专业；</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2.年龄35周岁及以下（1985年5月1日以后出生）；</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3.在国有企业或大、中型公司5年以上账务会计核算或预算管理经验；</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4.有预算管理、内控流程设置和投资收益分析等相关从业经验者优先；</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5.具备一定的财务分析能力，熟悉国家各项相关财务、税务、审计等法规政策，能熟练使用财务应用软件，熟悉处理账务及编制各种报表及现金流量表；</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6.具有良好的个人品质、职业道德、沟通和协调能力。</w:t>
            </w:r>
          </w:p>
        </w:tc>
        <w:tc>
          <w:tcPr>
            <w:tcW w:w="952"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12-16</w:t>
            </w:r>
          </w:p>
        </w:tc>
      </w:tr>
      <w:tr w:rsidR="00FC76C0" w:rsidRPr="00DD447E">
        <w:trPr>
          <w:trHeight w:val="1840"/>
        </w:trPr>
        <w:tc>
          <w:tcPr>
            <w:tcW w:w="632" w:type="dxa"/>
            <w:shd w:val="clear" w:color="auto" w:fill="auto"/>
            <w:vAlign w:val="center"/>
          </w:tcPr>
          <w:p w:rsidR="00FC76C0" w:rsidRPr="00DD447E" w:rsidRDefault="00817309">
            <w:pPr>
              <w:widowControl/>
              <w:jc w:val="center"/>
              <w:rPr>
                <w:rFonts w:ascii="微软雅黑" w:eastAsia="微软雅黑" w:hAnsi="微软雅黑" w:cs="Calibri"/>
                <w:kern w:val="0"/>
                <w:sz w:val="18"/>
                <w:szCs w:val="18"/>
              </w:rPr>
            </w:pPr>
            <w:r w:rsidRPr="00DD447E">
              <w:rPr>
                <w:rFonts w:ascii="微软雅黑" w:eastAsia="微软雅黑" w:hAnsi="微软雅黑" w:cs="Calibri"/>
                <w:kern w:val="0"/>
                <w:sz w:val="18"/>
                <w:szCs w:val="18"/>
              </w:rPr>
              <w:t>8</w:t>
            </w:r>
          </w:p>
        </w:tc>
        <w:tc>
          <w:tcPr>
            <w:tcW w:w="1274"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金水公司预结算主管</w:t>
            </w:r>
          </w:p>
        </w:tc>
        <w:tc>
          <w:tcPr>
            <w:tcW w:w="636"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w:t>
            </w:r>
          </w:p>
        </w:tc>
        <w:tc>
          <w:tcPr>
            <w:tcW w:w="4966" w:type="dxa"/>
            <w:shd w:val="clear" w:color="auto" w:fill="auto"/>
            <w:vAlign w:val="center"/>
          </w:tcPr>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1.负责项目工程计量和造价管理工作；</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2.工程签证和设计变更签证造价预审；</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3.工程项目结算资料审核以及结算初审工作；负责与财评审计对审工作。</w:t>
            </w:r>
          </w:p>
        </w:tc>
        <w:tc>
          <w:tcPr>
            <w:tcW w:w="5503" w:type="dxa"/>
            <w:shd w:val="clear" w:color="auto" w:fill="auto"/>
            <w:vAlign w:val="center"/>
          </w:tcPr>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1.全日制本科以上学历，水利、市政、交通类工程造价相关专业；</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2.年龄35周岁及以下（1985年5月1日以后出生）；</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3.具备3年以上水利、市政、交通类工程造价工作经验，有长沙地区类似工作经验优先考虑；</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4.具有二级造价师及以上证件，有中级及以上职称者优先考虑；</w:t>
            </w:r>
          </w:p>
          <w:p w:rsidR="00FC76C0" w:rsidRPr="00DD447E" w:rsidRDefault="0096170E">
            <w:pPr>
              <w:widowControl/>
              <w:jc w:val="left"/>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5.熟练使用智多星、易投、同望等工程计价软件，熟悉掌握水利、市政、交通类相关计价定额、规程及规范。</w:t>
            </w:r>
          </w:p>
        </w:tc>
        <w:tc>
          <w:tcPr>
            <w:tcW w:w="952" w:type="dxa"/>
            <w:shd w:val="clear" w:color="auto" w:fill="auto"/>
            <w:vAlign w:val="center"/>
          </w:tcPr>
          <w:p w:rsidR="00FC76C0" w:rsidRPr="00DD447E" w:rsidRDefault="0096170E">
            <w:pPr>
              <w:widowControl/>
              <w:jc w:val="center"/>
              <w:rPr>
                <w:rFonts w:ascii="微软雅黑" w:eastAsia="微软雅黑" w:hAnsi="微软雅黑" w:cs="Calibri"/>
                <w:kern w:val="0"/>
                <w:sz w:val="18"/>
                <w:szCs w:val="18"/>
              </w:rPr>
            </w:pPr>
            <w:r w:rsidRPr="00DD447E">
              <w:rPr>
                <w:rFonts w:ascii="微软雅黑" w:eastAsia="微软雅黑" w:hAnsi="微软雅黑" w:cs="Calibri" w:hint="eastAsia"/>
                <w:kern w:val="0"/>
                <w:sz w:val="18"/>
                <w:szCs w:val="18"/>
              </w:rPr>
              <w:t>12-16</w:t>
            </w:r>
          </w:p>
        </w:tc>
      </w:tr>
    </w:tbl>
    <w:p w:rsidR="00FC76C0" w:rsidRPr="00DD447E" w:rsidRDefault="00FC76C0">
      <w:pPr>
        <w:widowControl/>
        <w:jc w:val="left"/>
        <w:rPr>
          <w:rFonts w:ascii="仿宋_GB2312" w:eastAsia="仿宋_GB2312" w:hAnsi="仿宋_GB2312" w:cs="仿宋_GB2312"/>
          <w:sz w:val="28"/>
          <w:szCs w:val="28"/>
        </w:rPr>
      </w:pPr>
    </w:p>
    <w:p w:rsidR="00FC76C0" w:rsidRPr="00DD447E" w:rsidRDefault="00FC76C0">
      <w:pPr>
        <w:tabs>
          <w:tab w:val="left" w:pos="725"/>
        </w:tabs>
        <w:ind w:right="1120"/>
        <w:jc w:val="right"/>
        <w:rPr>
          <w:rFonts w:ascii="仿宋_GB2312" w:eastAsia="仿宋_GB2312" w:hAnsi="仿宋_GB2312" w:cs="仿宋_GB2312"/>
          <w:sz w:val="28"/>
          <w:szCs w:val="28"/>
        </w:rPr>
      </w:pPr>
    </w:p>
    <w:sectPr w:rsidR="00FC76C0" w:rsidRPr="00DD447E">
      <w:pgSz w:w="16838" w:h="11906" w:orient="landscape"/>
      <w:pgMar w:top="1230" w:right="1440" w:bottom="1230"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7D6" w:rsidRDefault="001A07D6" w:rsidP="004D5789">
      <w:r>
        <w:separator/>
      </w:r>
    </w:p>
  </w:endnote>
  <w:endnote w:type="continuationSeparator" w:id="0">
    <w:p w:rsidR="001A07D6" w:rsidRDefault="001A07D6" w:rsidP="004D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7D6" w:rsidRDefault="001A07D6" w:rsidP="004D5789">
      <w:r>
        <w:separator/>
      </w:r>
    </w:p>
  </w:footnote>
  <w:footnote w:type="continuationSeparator" w:id="0">
    <w:p w:rsidR="001A07D6" w:rsidRDefault="001A07D6" w:rsidP="004D5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E6"/>
    <w:rsid w:val="000135E4"/>
    <w:rsid w:val="0003173B"/>
    <w:rsid w:val="000537A1"/>
    <w:rsid w:val="0006787D"/>
    <w:rsid w:val="000703B1"/>
    <w:rsid w:val="00071DAD"/>
    <w:rsid w:val="000756E5"/>
    <w:rsid w:val="0008145D"/>
    <w:rsid w:val="00087584"/>
    <w:rsid w:val="000A09B5"/>
    <w:rsid w:val="000B0DCD"/>
    <w:rsid w:val="000B4347"/>
    <w:rsid w:val="000C05E6"/>
    <w:rsid w:val="000C17B5"/>
    <w:rsid w:val="000C296A"/>
    <w:rsid w:val="000D24C0"/>
    <w:rsid w:val="000D2A06"/>
    <w:rsid w:val="000E5406"/>
    <w:rsid w:val="000F2F18"/>
    <w:rsid w:val="000F4760"/>
    <w:rsid w:val="00103FE3"/>
    <w:rsid w:val="00106DDA"/>
    <w:rsid w:val="00132BDF"/>
    <w:rsid w:val="00135203"/>
    <w:rsid w:val="001476CE"/>
    <w:rsid w:val="001516A7"/>
    <w:rsid w:val="00170838"/>
    <w:rsid w:val="001A07D6"/>
    <w:rsid w:val="001A7796"/>
    <w:rsid w:val="001B00F6"/>
    <w:rsid w:val="001F0FAC"/>
    <w:rsid w:val="001F4C89"/>
    <w:rsid w:val="00211D6E"/>
    <w:rsid w:val="00232331"/>
    <w:rsid w:val="00235182"/>
    <w:rsid w:val="002361A5"/>
    <w:rsid w:val="00244625"/>
    <w:rsid w:val="00244B29"/>
    <w:rsid w:val="00245EE2"/>
    <w:rsid w:val="002A06C3"/>
    <w:rsid w:val="002E2672"/>
    <w:rsid w:val="00315C5C"/>
    <w:rsid w:val="00336E5C"/>
    <w:rsid w:val="0034454F"/>
    <w:rsid w:val="00352851"/>
    <w:rsid w:val="00355AA5"/>
    <w:rsid w:val="0036019A"/>
    <w:rsid w:val="00382AF4"/>
    <w:rsid w:val="00396673"/>
    <w:rsid w:val="003A5592"/>
    <w:rsid w:val="003B7CC8"/>
    <w:rsid w:val="003E0F21"/>
    <w:rsid w:val="00417214"/>
    <w:rsid w:val="00435A57"/>
    <w:rsid w:val="0044151D"/>
    <w:rsid w:val="00443810"/>
    <w:rsid w:val="004445C7"/>
    <w:rsid w:val="00444A2C"/>
    <w:rsid w:val="00446462"/>
    <w:rsid w:val="00456A91"/>
    <w:rsid w:val="00467CA5"/>
    <w:rsid w:val="004D5789"/>
    <w:rsid w:val="005137AC"/>
    <w:rsid w:val="00531D75"/>
    <w:rsid w:val="005451FD"/>
    <w:rsid w:val="00546BFA"/>
    <w:rsid w:val="00550F69"/>
    <w:rsid w:val="0056410B"/>
    <w:rsid w:val="00590CE2"/>
    <w:rsid w:val="005C608C"/>
    <w:rsid w:val="005D04FD"/>
    <w:rsid w:val="005D6C41"/>
    <w:rsid w:val="005F09DD"/>
    <w:rsid w:val="005F0A14"/>
    <w:rsid w:val="005F77A6"/>
    <w:rsid w:val="006150AE"/>
    <w:rsid w:val="00617964"/>
    <w:rsid w:val="00620F7D"/>
    <w:rsid w:val="00632998"/>
    <w:rsid w:val="0064051A"/>
    <w:rsid w:val="00655E67"/>
    <w:rsid w:val="00660C0A"/>
    <w:rsid w:val="0067642D"/>
    <w:rsid w:val="00697731"/>
    <w:rsid w:val="006E0224"/>
    <w:rsid w:val="006E0329"/>
    <w:rsid w:val="006E412D"/>
    <w:rsid w:val="00700CE1"/>
    <w:rsid w:val="00720D31"/>
    <w:rsid w:val="007223AB"/>
    <w:rsid w:val="00760291"/>
    <w:rsid w:val="00764179"/>
    <w:rsid w:val="007F4105"/>
    <w:rsid w:val="007F7CD1"/>
    <w:rsid w:val="00817309"/>
    <w:rsid w:val="00822EF6"/>
    <w:rsid w:val="008332B7"/>
    <w:rsid w:val="00845BD2"/>
    <w:rsid w:val="00856EBA"/>
    <w:rsid w:val="0086134B"/>
    <w:rsid w:val="0086727E"/>
    <w:rsid w:val="00886F50"/>
    <w:rsid w:val="0089082E"/>
    <w:rsid w:val="00896C61"/>
    <w:rsid w:val="008A6837"/>
    <w:rsid w:val="008B3FAE"/>
    <w:rsid w:val="008F2E79"/>
    <w:rsid w:val="008F315F"/>
    <w:rsid w:val="00903BDD"/>
    <w:rsid w:val="0091221B"/>
    <w:rsid w:val="0092364E"/>
    <w:rsid w:val="009236F3"/>
    <w:rsid w:val="009350ED"/>
    <w:rsid w:val="0096170E"/>
    <w:rsid w:val="00984A78"/>
    <w:rsid w:val="00991D44"/>
    <w:rsid w:val="009A0015"/>
    <w:rsid w:val="009B25EF"/>
    <w:rsid w:val="009C18FB"/>
    <w:rsid w:val="009D03C7"/>
    <w:rsid w:val="009E4FD7"/>
    <w:rsid w:val="00A10841"/>
    <w:rsid w:val="00A11755"/>
    <w:rsid w:val="00A32D9B"/>
    <w:rsid w:val="00A64A89"/>
    <w:rsid w:val="00A83F03"/>
    <w:rsid w:val="00AA68A3"/>
    <w:rsid w:val="00AB7569"/>
    <w:rsid w:val="00AD2547"/>
    <w:rsid w:val="00AF6243"/>
    <w:rsid w:val="00B41B5E"/>
    <w:rsid w:val="00B53ABB"/>
    <w:rsid w:val="00B60C07"/>
    <w:rsid w:val="00B74173"/>
    <w:rsid w:val="00B761A7"/>
    <w:rsid w:val="00B865FC"/>
    <w:rsid w:val="00BD0FC8"/>
    <w:rsid w:val="00BD5766"/>
    <w:rsid w:val="00BF6301"/>
    <w:rsid w:val="00C403C5"/>
    <w:rsid w:val="00C57DE7"/>
    <w:rsid w:val="00C74389"/>
    <w:rsid w:val="00CA7617"/>
    <w:rsid w:val="00CC2B91"/>
    <w:rsid w:val="00CD3EDD"/>
    <w:rsid w:val="00CE7C9C"/>
    <w:rsid w:val="00CF5A87"/>
    <w:rsid w:val="00CF6DB4"/>
    <w:rsid w:val="00D046F3"/>
    <w:rsid w:val="00D20437"/>
    <w:rsid w:val="00D36F49"/>
    <w:rsid w:val="00D6032F"/>
    <w:rsid w:val="00D7043E"/>
    <w:rsid w:val="00D75070"/>
    <w:rsid w:val="00D8375A"/>
    <w:rsid w:val="00DC67AA"/>
    <w:rsid w:val="00DD447E"/>
    <w:rsid w:val="00DD73C7"/>
    <w:rsid w:val="00E07835"/>
    <w:rsid w:val="00E07CA1"/>
    <w:rsid w:val="00E14A3F"/>
    <w:rsid w:val="00E15114"/>
    <w:rsid w:val="00E63336"/>
    <w:rsid w:val="00E640C1"/>
    <w:rsid w:val="00E810B0"/>
    <w:rsid w:val="00E83518"/>
    <w:rsid w:val="00E907C6"/>
    <w:rsid w:val="00EA7CD0"/>
    <w:rsid w:val="00EB53C3"/>
    <w:rsid w:val="00EF724B"/>
    <w:rsid w:val="00F01A60"/>
    <w:rsid w:val="00F03550"/>
    <w:rsid w:val="00F04701"/>
    <w:rsid w:val="00F10076"/>
    <w:rsid w:val="00F40670"/>
    <w:rsid w:val="00F66C0C"/>
    <w:rsid w:val="00F86553"/>
    <w:rsid w:val="00F93798"/>
    <w:rsid w:val="00F950EF"/>
    <w:rsid w:val="00FA63BA"/>
    <w:rsid w:val="00FB2749"/>
    <w:rsid w:val="00FC6428"/>
    <w:rsid w:val="00FC76C0"/>
    <w:rsid w:val="00FD01EB"/>
    <w:rsid w:val="00FD08C2"/>
    <w:rsid w:val="00FF4DE3"/>
    <w:rsid w:val="01FF6240"/>
    <w:rsid w:val="0A9F63E2"/>
    <w:rsid w:val="0B205472"/>
    <w:rsid w:val="0BC07C22"/>
    <w:rsid w:val="10BA2879"/>
    <w:rsid w:val="10FC4A48"/>
    <w:rsid w:val="121A6789"/>
    <w:rsid w:val="138E4A6F"/>
    <w:rsid w:val="150C5562"/>
    <w:rsid w:val="15112A12"/>
    <w:rsid w:val="156436E0"/>
    <w:rsid w:val="1AAB2C97"/>
    <w:rsid w:val="1AFC5A13"/>
    <w:rsid w:val="1DCA3D58"/>
    <w:rsid w:val="215E6E69"/>
    <w:rsid w:val="21B02F78"/>
    <w:rsid w:val="223D13D4"/>
    <w:rsid w:val="23660EF4"/>
    <w:rsid w:val="23A93076"/>
    <w:rsid w:val="26403CEE"/>
    <w:rsid w:val="27CA3FBF"/>
    <w:rsid w:val="27FA1C30"/>
    <w:rsid w:val="28B37519"/>
    <w:rsid w:val="2A380D2C"/>
    <w:rsid w:val="2FB14580"/>
    <w:rsid w:val="325C64D2"/>
    <w:rsid w:val="344D0C87"/>
    <w:rsid w:val="362F645F"/>
    <w:rsid w:val="3829650D"/>
    <w:rsid w:val="3F6B3EB4"/>
    <w:rsid w:val="49F27248"/>
    <w:rsid w:val="4E250B82"/>
    <w:rsid w:val="4F5F30C2"/>
    <w:rsid w:val="502E13FD"/>
    <w:rsid w:val="50894D67"/>
    <w:rsid w:val="52CD0930"/>
    <w:rsid w:val="53A076B1"/>
    <w:rsid w:val="5DB33D3B"/>
    <w:rsid w:val="5EE54EE1"/>
    <w:rsid w:val="604936F5"/>
    <w:rsid w:val="60A03CAC"/>
    <w:rsid w:val="61077798"/>
    <w:rsid w:val="62A91E35"/>
    <w:rsid w:val="634C4A14"/>
    <w:rsid w:val="634D0F3A"/>
    <w:rsid w:val="693B1FF5"/>
    <w:rsid w:val="6BCA70A5"/>
    <w:rsid w:val="6CF472C1"/>
    <w:rsid w:val="6F385C49"/>
    <w:rsid w:val="71CE133F"/>
    <w:rsid w:val="72846381"/>
    <w:rsid w:val="734555A0"/>
    <w:rsid w:val="74D76918"/>
    <w:rsid w:val="759A78C2"/>
    <w:rsid w:val="77ED681B"/>
    <w:rsid w:val="781C16BF"/>
    <w:rsid w:val="7A164449"/>
    <w:rsid w:val="7D0A0794"/>
    <w:rsid w:val="7EB9308A"/>
    <w:rsid w:val="7FBB10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D1995"/>
  <w15:docId w15:val="{101CFD82-6351-4B02-8154-42F79C09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Hyperlink"/>
    <w:basedOn w:val="a0"/>
    <w:uiPriority w:val="99"/>
    <w:unhideWhenUsed/>
    <w:qFormat/>
    <w:rPr>
      <w:color w:val="0000FF"/>
      <w:u w:val="single"/>
    </w:rPr>
  </w:style>
  <w:style w:type="paragraph" w:styleId="ae">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pple-converted-space">
    <w:name w:val="apple-converted-space"/>
    <w:basedOn w:val="a0"/>
    <w:qFormat/>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a4">
    <w:name w:val="日期 字符"/>
    <w:basedOn w:val="a0"/>
    <w:link w:val="a3"/>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F261AC-6BC5-47CC-A3CD-F9136ADF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446</Words>
  <Characters>2548</Characters>
  <Application>Microsoft Office Word</Application>
  <DocSecurity>0</DocSecurity>
  <Lines>21</Lines>
  <Paragraphs>5</Paragraphs>
  <ScaleCrop>false</ScaleCrop>
  <Company>jobs</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lu.peter/卢传书_湘_销售</dc:creator>
  <cp:lastModifiedBy>lu.peter/卢传书_湘_销售</cp:lastModifiedBy>
  <cp:revision>23</cp:revision>
  <cp:lastPrinted>2020-05-07T10:33:00Z</cp:lastPrinted>
  <dcterms:created xsi:type="dcterms:W3CDTF">2020-04-30T10:18:00Z</dcterms:created>
  <dcterms:modified xsi:type="dcterms:W3CDTF">2020-05-09T12:26:00Z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