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黑体" w:eastAsia="黑体" w:hAnsi="黑体"/>
          <w:sz w:val="32"/>
          <w:szCs w:val="32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>
      <w:pPr>
        <w:pStyle w:val="style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体检注意事项</w:t>
      </w:r>
    </w:p>
    <w:p>
      <w:pPr>
        <w:pStyle w:val="style0"/>
        <w:ind w:firstLine="632" w:firstLineChars="200"/>
        <w:rPr>
          <w:rStyle w:val="style4099"/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pacing w:val="-4"/>
          <w:sz w:val="32"/>
          <w:szCs w:val="32"/>
        </w:rPr>
        <w:t>一、</w:t>
      </w:r>
      <w:r>
        <w:rPr>
          <w:rStyle w:val="style4099"/>
          <w:rFonts w:ascii="仿宋" w:eastAsia="仿宋" w:hAnsi="仿宋"/>
          <w:sz w:val="32"/>
          <w:szCs w:val="32"/>
        </w:rPr>
        <w:t xml:space="preserve">体检时间： </w:t>
      </w:r>
    </w:p>
    <w:p>
      <w:pPr>
        <w:pStyle w:val="style0"/>
        <w:ind w:firstLine="640" w:firstLineChars="200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/>
          <w:sz w:val="32"/>
          <w:szCs w:val="32"/>
        </w:rPr>
        <w:t>考生于</w:t>
      </w:r>
      <w:r>
        <w:rPr>
          <w:rStyle w:val="style4099"/>
          <w:rFonts w:ascii="仿宋" w:eastAsia="仿宋" w:hAnsi="仿宋" w:hint="eastAsia"/>
          <w:sz w:val="32"/>
          <w:szCs w:val="32"/>
        </w:rPr>
        <w:t>6月29日</w:t>
      </w:r>
      <w:r>
        <w:rPr>
          <w:rStyle w:val="style4099"/>
          <w:rFonts w:ascii="仿宋" w:eastAsia="仿宋" w:hAnsi="仿宋"/>
          <w:sz w:val="32"/>
          <w:szCs w:val="32"/>
        </w:rPr>
        <w:t>早</w:t>
      </w:r>
      <w:r>
        <w:rPr>
          <w:rStyle w:val="style4099"/>
          <w:rFonts w:ascii="仿宋" w:eastAsia="仿宋" w:hAnsi="仿宋" w:hint="eastAsia"/>
          <w:b/>
          <w:sz w:val="32"/>
          <w:szCs w:val="32"/>
        </w:rPr>
        <w:t>6</w:t>
      </w:r>
      <w:r>
        <w:rPr>
          <w:rStyle w:val="style4099"/>
          <w:rFonts w:ascii="仿宋" w:eastAsia="仿宋" w:hAnsi="仿宋"/>
          <w:b/>
          <w:sz w:val="32"/>
          <w:szCs w:val="32"/>
        </w:rPr>
        <w:t>:</w:t>
      </w:r>
      <w:r>
        <w:rPr>
          <w:rStyle w:val="style4099"/>
          <w:rFonts w:ascii="仿宋" w:eastAsia="仿宋" w:hAnsi="仿宋" w:hint="eastAsia"/>
          <w:b/>
          <w:sz w:val="32"/>
          <w:szCs w:val="32"/>
        </w:rPr>
        <w:t>2</w:t>
      </w:r>
      <w:r>
        <w:rPr>
          <w:rStyle w:val="style4099"/>
          <w:rFonts w:ascii="仿宋" w:eastAsia="仿宋" w:hAnsi="仿宋"/>
          <w:b/>
          <w:sz w:val="32"/>
          <w:szCs w:val="32"/>
        </w:rPr>
        <w:t>0</w:t>
      </w:r>
      <w:r>
        <w:rPr>
          <w:rStyle w:val="style4099"/>
          <w:rFonts w:ascii="仿宋" w:eastAsia="仿宋" w:hAnsi="仿宋"/>
          <w:sz w:val="32"/>
          <w:szCs w:val="32"/>
        </w:rPr>
        <w:t>在沈阳市税务干部学校集合,由招录单位统一组织考生乘车前往体检医院。</w:t>
      </w:r>
    </w:p>
    <w:p>
      <w:pPr>
        <w:pStyle w:val="style0"/>
        <w:ind w:firstLine="640" w:firstLineChars="200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 w:hint="eastAsia"/>
          <w:sz w:val="32"/>
          <w:szCs w:val="32"/>
        </w:rPr>
        <w:t>二、</w:t>
      </w:r>
      <w:r>
        <w:rPr>
          <w:rStyle w:val="style4099"/>
          <w:rFonts w:ascii="仿宋" w:eastAsia="仿宋" w:hAnsi="仿宋"/>
          <w:sz w:val="32"/>
          <w:szCs w:val="32"/>
        </w:rPr>
        <w:t>体检前一天注意休息，勿熬夜，不要饮酒，清淡饮食，避免剧烈运动。体检全程规范佩戴医用口罩。体检当天需进行采血、彩超等检查，请在受检前禁食8—12小时，体检当日早晨禁食禁水。体检前沐浴，穿好内裤，保持外阴部清洁。若女性受检者正处于月经期间请勿做妇科及尿液检查，待经期完毕后再补检；怀孕或可能已受孕者，需事先告知医护人员，勿做X光检查。不可穿带亮片装饰的内、外衣，不可穿连裤袜。</w:t>
      </w:r>
    </w:p>
    <w:p>
      <w:pPr>
        <w:pStyle w:val="style0"/>
        <w:ind w:firstLine="640" w:firstLineChars="200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 w:hint="eastAsia"/>
          <w:sz w:val="32"/>
          <w:szCs w:val="32"/>
        </w:rPr>
        <w:t>三、</w:t>
      </w:r>
      <w:r>
        <w:rPr>
          <w:rStyle w:val="style4099"/>
          <w:rFonts w:ascii="仿宋" w:eastAsia="仿宋" w:hAnsi="仿宋"/>
          <w:sz w:val="32"/>
          <w:szCs w:val="32"/>
        </w:rPr>
        <w:t>参加体检人员请携带</w:t>
      </w:r>
      <w:r>
        <w:rPr>
          <w:rStyle w:val="style4099"/>
          <w:rFonts w:ascii="仿宋" w:eastAsia="仿宋" w:hAnsi="仿宋"/>
          <w:b/>
          <w:sz w:val="32"/>
          <w:szCs w:val="32"/>
        </w:rPr>
        <w:t>笔试准考证、身份证、黑色签字笔、近期二寸免冠彩色照片一张</w:t>
      </w:r>
      <w:r>
        <w:rPr>
          <w:rStyle w:val="style4099"/>
          <w:rFonts w:ascii="仿宋" w:eastAsia="仿宋" w:hAnsi="仿宋"/>
          <w:sz w:val="32"/>
          <w:szCs w:val="32"/>
        </w:rPr>
        <w:t>，体检费用不需个人承担。</w:t>
      </w:r>
    </w:p>
    <w:p>
      <w:pPr>
        <w:pStyle w:val="style0"/>
        <w:ind w:firstLine="640" w:firstLineChars="200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 w:hint="eastAsia"/>
          <w:sz w:val="32"/>
          <w:szCs w:val="32"/>
        </w:rPr>
        <w:t>四、</w:t>
      </w:r>
      <w:r>
        <w:rPr>
          <w:rStyle w:val="style4099"/>
          <w:rFonts w:ascii="仿宋" w:eastAsia="仿宋" w:hAnsi="仿宋"/>
          <w:sz w:val="32"/>
          <w:szCs w:val="32"/>
        </w:rPr>
        <w:t>体检当日需出示“辽事通”健康码、</w:t>
      </w:r>
      <w:r>
        <w:rPr>
          <w:rFonts w:ascii="仿宋" w:eastAsia="仿宋" w:hAnsi="仿宋" w:hint="eastAsia"/>
          <w:sz w:val="32"/>
          <w:szCs w:val="32"/>
        </w:rPr>
        <w:t>“通讯大数据行程卡”</w:t>
      </w:r>
      <w:r>
        <w:rPr>
          <w:rStyle w:val="style4099"/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体检中心只接待</w:t>
      </w:r>
      <w:r>
        <w:rPr>
          <w:rFonts w:ascii="仿宋" w:eastAsia="仿宋" w:hAnsi="仿宋" w:hint="eastAsia"/>
          <w:b/>
          <w:sz w:val="32"/>
          <w:szCs w:val="32"/>
        </w:rPr>
        <w:t>低风险地区（通信大数据行程卡下面备注显示不带有*的）</w:t>
      </w:r>
      <w:r>
        <w:rPr>
          <w:rFonts w:ascii="仿宋" w:eastAsia="仿宋" w:hAnsi="仿宋" w:hint="eastAsia"/>
          <w:sz w:val="32"/>
          <w:szCs w:val="32"/>
        </w:rPr>
        <w:t>的受检者 ，14天内有发热及新冠相关症状，中高风险地区及重点关注地区或境外旅居史，有新冠肺炎确诊病例或疑似患者接触史人员，</w:t>
      </w:r>
      <w:r>
        <w:rPr>
          <w:rFonts w:ascii="仿宋" w:eastAsia="仿宋" w:hAnsi="仿宋" w:hint="eastAsia"/>
          <w:b/>
          <w:sz w:val="32"/>
          <w:szCs w:val="32"/>
        </w:rPr>
        <w:t>不予体检。</w:t>
      </w:r>
      <w:r>
        <w:rPr>
          <w:rFonts w:ascii="仿宋" w:eastAsia="仿宋" w:hAnsi="仿宋" w:hint="eastAsia"/>
          <w:sz w:val="32"/>
          <w:szCs w:val="32"/>
        </w:rPr>
        <w:t>沈阳市的受检者须持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纸质版沈阳市</w:t>
      </w:r>
      <w:r>
        <w:rPr>
          <w:rFonts w:ascii="仿宋" w:eastAsia="仿宋" w:hAnsi="仿宋" w:hint="eastAsia"/>
          <w:b/>
          <w:sz w:val="32"/>
          <w:szCs w:val="32"/>
        </w:rPr>
        <w:t>72小时内核酸检测阴性报告；</w:t>
      </w:r>
      <w:r>
        <w:rPr>
          <w:rFonts w:ascii="仿宋" w:eastAsia="仿宋" w:hAnsi="仿宋" w:hint="eastAsia"/>
          <w:sz w:val="32"/>
          <w:szCs w:val="32"/>
        </w:rPr>
        <w:t>域外</w:t>
      </w:r>
      <w:r>
        <w:rPr>
          <w:rFonts w:ascii="仿宋" w:eastAsia="仿宋" w:hAnsi="仿宋" w:hint="eastAsia"/>
          <w:bCs/>
          <w:sz w:val="32"/>
          <w:szCs w:val="32"/>
        </w:rPr>
        <w:t>来（返）沈的受检者</w:t>
      </w:r>
      <w:r>
        <w:rPr>
          <w:rFonts w:ascii="仿宋" w:eastAsia="仿宋" w:hAnsi="仿宋" w:hint="eastAsia"/>
          <w:sz w:val="32"/>
          <w:szCs w:val="32"/>
        </w:rPr>
        <w:t>携带</w:t>
      </w:r>
      <w:r>
        <w:rPr>
          <w:rFonts w:ascii="仿宋" w:eastAsia="仿宋" w:hAnsi="仿宋" w:hint="eastAsia"/>
          <w:b/>
          <w:sz w:val="32"/>
          <w:szCs w:val="32"/>
        </w:rPr>
        <w:t>出发地纸质版48小时核酸检测阴性报告，沈阳落地立即再进行1次抗原或核酸检测，</w:t>
      </w:r>
      <w:r>
        <w:rPr>
          <w:rFonts w:ascii="仿宋" w:eastAsia="仿宋" w:hAnsi="仿宋" w:hint="eastAsia"/>
          <w:sz w:val="32"/>
          <w:szCs w:val="32"/>
        </w:rPr>
        <w:t>须持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纸质版出发地和沈阳市</w:t>
      </w:r>
      <w:r>
        <w:rPr>
          <w:rFonts w:ascii="仿宋" w:eastAsia="仿宋" w:hAnsi="仿宋" w:hint="eastAsia"/>
          <w:b/>
          <w:sz w:val="32"/>
          <w:szCs w:val="32"/>
        </w:rPr>
        <w:t>阴性报告</w:t>
      </w:r>
      <w:r>
        <w:rPr>
          <w:rStyle w:val="style4099"/>
          <w:rFonts w:ascii="仿宋" w:eastAsia="仿宋" w:hAnsi="仿宋" w:hint="eastAsia"/>
          <w:b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携带</w:t>
      </w:r>
      <w:r>
        <w:rPr>
          <w:rFonts w:ascii="仿宋" w:eastAsia="仿宋" w:hAnsi="仿宋" w:hint="eastAsia"/>
          <w:b/>
          <w:sz w:val="32"/>
          <w:szCs w:val="32"/>
        </w:rPr>
        <w:t>体检当日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填写后的</w:t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纸质版《新冠病毒感染风险排查表》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（见附件）并接受体温检测</w:t>
      </w:r>
      <w:r>
        <w:rPr>
          <w:rStyle w:val="style4099"/>
          <w:rFonts w:ascii="仿宋" w:eastAsia="仿宋" w:hAnsi="仿宋"/>
          <w:sz w:val="32"/>
          <w:szCs w:val="32"/>
        </w:rPr>
        <w:t>。</w:t>
      </w:r>
    </w:p>
    <w:p>
      <w:pPr>
        <w:pStyle w:val="style0"/>
        <w:ind w:firstLine="640" w:firstLineChars="200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 w:hint="eastAsia"/>
          <w:sz w:val="32"/>
          <w:szCs w:val="32"/>
        </w:rPr>
        <w:t>五、</w:t>
      </w:r>
      <w:r>
        <w:rPr>
          <w:rStyle w:val="style4099"/>
          <w:rFonts w:ascii="仿宋" w:eastAsia="仿宋" w:hAnsi="仿宋"/>
          <w:sz w:val="32"/>
          <w:szCs w:val="32"/>
        </w:rPr>
        <w:t>请考生配合医生认真检查所有项目，勿漏检。若自动放弃某一项检查项目，将会影响录用。体检医生可根据实际需要，增加必要的相应检查、检验项目。无正当理由不按时参加体检的视为放弃。严禁弄虚作假、冒名顶替，一经发现将按有关规定严肃处理。如隐瞒病史影响体检结果的，后果自负。</w:t>
      </w:r>
    </w:p>
    <w:p>
      <w:pPr>
        <w:pStyle w:val="style0"/>
        <w:shd w:val="solid" w:color="ffffff" w:fill="auto"/>
        <w:adjustRightInd w:val="false"/>
        <w:snapToGrid w:val="false"/>
        <w:spacing w:lineRule="auto" w:line="360"/>
        <w:ind w:left="640"/>
        <w:rPr>
          <w:rFonts w:ascii="仿宋" w:eastAsia="仿宋" w:hAnsi="仿宋"/>
          <w:sz w:val="32"/>
          <w:szCs w:val="32"/>
          <w:shd w:val="clear" w:color="auto" w:fill="ffffff"/>
        </w:rPr>
      </w:pPr>
    </w:p>
    <w:p>
      <w:pPr>
        <w:pStyle w:val="style0"/>
        <w:tabs>
          <w:tab w:val="left" w:leader="none" w:pos="1268"/>
          <w:tab w:val="center" w:leader="none" w:pos="5539"/>
        </w:tabs>
        <w:spacing w:before="28"/>
        <w:ind w:right="58" w:firstLine="640" w:firstLineChars="200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/>
          <w:sz w:val="32"/>
          <w:szCs w:val="32"/>
        </w:rPr>
        <w:t>附件：</w:t>
      </w:r>
      <w:r>
        <w:rPr>
          <w:rStyle w:val="style4099"/>
          <w:rFonts w:ascii="仿宋" w:eastAsia="仿宋" w:hAnsi="仿宋" w:hint="eastAsia"/>
          <w:sz w:val="32"/>
          <w:szCs w:val="32"/>
        </w:rPr>
        <w:t>《新冠病毒感染风险排查表》</w:t>
      </w:r>
    </w:p>
    <w:p>
      <w:pPr>
        <w:pStyle w:val="style0"/>
        <w:widowControl/>
        <w:spacing w:before="100" w:beforeAutospacing="true" w:after="100" w:afterAutospacing="true"/>
        <w:ind w:firstLine="480"/>
        <w:rPr>
          <w:rFonts w:ascii="仿宋" w:eastAsia="仿宋" w:hAnsi="仿宋"/>
          <w:color w:val="333333"/>
          <w:sz w:val="32"/>
          <w:szCs w:val="32"/>
        </w:rPr>
      </w:pPr>
    </w:p>
    <w:p>
      <w:pPr>
        <w:pStyle w:val="style0"/>
        <w:widowControl/>
        <w:spacing w:before="100" w:beforeAutospacing="true" w:after="100" w:afterAutospacing="true"/>
        <w:ind w:right="960" w:firstLine="480"/>
        <w:jc w:val="right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 w:hint="eastAsia"/>
          <w:sz w:val="32"/>
          <w:szCs w:val="32"/>
        </w:rPr>
        <w:t>国家税务总局辽宁省税务局</w:t>
      </w:r>
    </w:p>
    <w:p>
      <w:pPr>
        <w:pStyle w:val="style0"/>
        <w:widowControl/>
        <w:spacing w:before="100" w:beforeAutospacing="true" w:after="100" w:afterAutospacing="true"/>
        <w:ind w:right="1600" w:firstLine="480"/>
        <w:jc w:val="right"/>
        <w:rPr>
          <w:rStyle w:val="style4099"/>
          <w:rFonts w:ascii="仿宋" w:eastAsia="仿宋" w:hAnsi="仿宋"/>
          <w:sz w:val="32"/>
          <w:szCs w:val="32"/>
        </w:rPr>
      </w:pPr>
      <w:r>
        <w:rPr>
          <w:rStyle w:val="style4099"/>
          <w:rFonts w:ascii="仿宋" w:eastAsia="仿宋" w:hAnsi="仿宋" w:hint="eastAsia"/>
          <w:sz w:val="32"/>
          <w:szCs w:val="32"/>
        </w:rPr>
        <w:t>2022年6月</w:t>
      </w:r>
      <w:r>
        <w:rPr>
          <w:rStyle w:val="style4099"/>
          <w:rFonts w:ascii="仿宋" w:eastAsia="仿宋" w:hAnsi="仿宋" w:hint="eastAsia"/>
          <w:sz w:val="32"/>
          <w:szCs w:val="32"/>
        </w:rPr>
        <w:t>2</w:t>
      </w:r>
      <w:r>
        <w:rPr>
          <w:rStyle w:val="style4099"/>
          <w:rFonts w:ascii="仿宋" w:eastAsia="仿宋" w:hAnsi="仿宋" w:hint="default"/>
          <w:sz w:val="32"/>
          <w:szCs w:val="32"/>
          <w:lang w:val="en-US"/>
        </w:rPr>
        <w:t>3</w:t>
      </w:r>
      <w:r>
        <w:rPr>
          <w:rStyle w:val="style4099"/>
          <w:rFonts w:ascii="仿宋" w:eastAsia="仿宋" w:hAnsi="仿宋" w:hint="eastAsia"/>
          <w:sz w:val="32"/>
          <w:szCs w:val="32"/>
        </w:rPr>
        <w:t>日</w:t>
      </w:r>
    </w:p>
    <w:p>
      <w:pPr>
        <w:pStyle w:val="style0"/>
        <w:widowControl/>
        <w:autoSpaceDE/>
        <w:autoSpaceDN/>
        <w:rPr>
          <w:rFonts w:ascii="黑体" w:eastAsia="黑体"/>
          <w:b/>
          <w:sz w:val="36"/>
          <w:lang w:val="en-US"/>
        </w:rPr>
      </w:pPr>
      <w:r>
        <w:rPr>
          <w:rFonts w:ascii="黑体" w:eastAsia="黑体"/>
          <w:b/>
          <w:sz w:val="36"/>
          <w:lang w:val="en-US"/>
        </w:rPr>
        <w:br w:type="page"/>
      </w:r>
    </w:p>
    <w:p>
      <w:pPr>
        <w:pStyle w:val="style0"/>
        <w:widowControl/>
        <w:autoSpaceDE/>
        <w:autoSpaceDN/>
        <w:rPr>
          <w:rFonts w:ascii="黑体" w:eastAsia="黑体"/>
          <w:b/>
          <w:sz w:val="36"/>
          <w:lang w:val="en-US"/>
        </w:rPr>
      </w:pPr>
    </w:p>
    <w:p>
      <w:pPr>
        <w:pStyle w:val="style0"/>
        <w:tabs>
          <w:tab w:val="left" w:leader="none" w:pos="1268"/>
          <w:tab w:val="center" w:leader="none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新冠病毒感染风险排查</w:t>
      </w:r>
    </w:p>
    <w:p>
      <w:pPr>
        <w:pStyle w:val="style0"/>
        <w:tabs>
          <w:tab w:val="left" w:leader="none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 w:hint="eastAsia"/>
          <w:b/>
          <w:sz w:val="28"/>
        </w:rPr>
        <w:t>2022</w:t>
      </w:r>
      <w:r>
        <w:rPr>
          <w:rFonts w:ascii="黑体" w:eastAsia="黑体" w:hint="eastAsia"/>
          <w:b/>
          <w:sz w:val="28"/>
        </w:rPr>
        <w:t>年</w:t>
      </w:r>
      <w:r>
        <w:rPr>
          <w:rFonts w:ascii="黑体" w:eastAsia="黑体" w:hint="eastAsia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>
      <w:pPr>
        <w:pStyle w:val="style0"/>
        <w:tabs>
          <w:tab w:val="left" w:leader="none" w:pos="2245"/>
          <w:tab w:val="left" w:leader="none" w:pos="4913"/>
          <w:tab w:val="left" w:leader="none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pStyle w:val="style0"/>
        <w:tabs>
          <w:tab w:val="left" w:leader="none" w:pos="2383"/>
          <w:tab w:val="left" w:leader="none" w:pos="3336"/>
          <w:tab w:val="left" w:leader="none" w:pos="4913"/>
          <w:tab w:val="left" w:leader="none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style66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style66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1153"/>
        <w:gridCol w:w="1151"/>
      </w:tblGrid>
      <w:tr>
        <w:trPr>
          <w:trHeight w:val="294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39" w:lineRule="exact" w:line="262"/>
              <w:ind w:right="3919"/>
              <w:jc w:val="center"/>
              <w:rPr>
                <w:rFonts w:ascii="仿宋" w:cs="仿宋" w:eastAsia="仿宋" w:hAnsi="仿宋"/>
                <w:b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39" w:lineRule="exact" w:line="262"/>
              <w:ind w:left="160"/>
              <w:rPr>
                <w:rFonts w:ascii="仿宋" w:cs="仿宋" w:eastAsia="仿宋" w:hAnsi="仿宋"/>
                <w:b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39" w:lineRule="exact" w:line="262"/>
              <w:ind w:left="135"/>
              <w:rPr>
                <w:rFonts w:ascii="仿宋" w:cs="仿宋" w:eastAsia="仿宋" w:hAnsi="仿宋"/>
                <w:b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</w:rPr>
              <w:t>家属</w:t>
            </w:r>
          </w:p>
        </w:tc>
      </w:tr>
      <w:tr>
        <w:tblPrEx/>
        <w:trPr>
          <w:trHeight w:val="321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spacing w:before="39" w:lineRule="exact" w:line="262"/>
              <w:ind w:left="0"/>
              <w:rPr>
                <w:rFonts w:ascii="仿宋" w:cs="仿宋" w:eastAsia="仿宋" w:hAnsi="仿宋"/>
                <w:b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/>
        <w:trPr>
          <w:trHeight w:val="655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46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style4098"/>
              <w:spacing w:before="46"/>
              <w:ind w:left="0" w:firstLine="280" w:firstLineChars="10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  <w:p>
            <w:pPr>
              <w:pStyle w:val="style4098"/>
              <w:spacing w:before="52"/>
              <w:ind w:left="367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388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46" w:lineRule="exact" w:line="267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691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46" w:lineRule="exact" w:line="267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曾接触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来自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的有发热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313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1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曾接触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新冠病毒感染者或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密切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接触者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5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5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689" w:hRule="atLeast"/>
        </w:trPr>
        <w:tc>
          <w:tcPr>
            <w:tcW w:w="8391" w:type="dxa"/>
            <w:tcBorders/>
          </w:tcPr>
          <w:p>
            <w:pPr>
              <w:pStyle w:val="style4098"/>
              <w:spacing w:lineRule="exact" w:line="320"/>
              <w:ind w:left="0" w:right="96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  <w:lang w:val="en-US"/>
              </w:rPr>
              <w:t>5.聚集性发病患者（14天</w:t>
            </w: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  <w:lang w:val="en-US"/>
              </w:rPr>
              <w:t>内在</w:t>
            </w: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</w:rPr>
              <w:t>小</w:t>
            </w: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</w:rPr>
              <w:t xml:space="preserve">范围如家庭、办公室、学校班级等场所，出现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cs="仿宋" w:eastAsia="仿宋" w:hAnsi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cs="仿宋" w:eastAsia="仿宋" w:hAnsi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cs="仿宋" w:eastAsia="仿宋" w:hAnsi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cs="仿宋" w:eastAsia="仿宋" w:hAnsi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349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spacing w:before="50" w:lineRule="exact" w:line="252"/>
              <w:ind w:left="0"/>
              <w:jc w:val="both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bottom w:val="single" w:sz="4" w:space="0" w:color="auto"/>
            </w:tcBorders>
          </w:tcPr>
          <w:p>
            <w:pPr>
              <w:pStyle w:val="style4098"/>
              <w:spacing w:before="46"/>
              <w:ind w:left="0"/>
              <w:rPr>
                <w:rFonts w:ascii="仿宋" w:cs="仿宋" w:eastAsia="仿宋" w:hAnsi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中所述任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一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情况人员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top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否</w:t>
            </w:r>
          </w:p>
        </w:tc>
      </w:tr>
      <w:tr>
        <w:tblPrEx/>
        <w:trPr>
          <w:trHeight w:val="349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spacing w:before="50" w:lineRule="exact" w:line="252"/>
              <w:ind w:left="0"/>
              <w:jc w:val="both"/>
              <w:rPr>
                <w:rFonts w:ascii="仿宋" w:cs="仿宋" w:eastAsia="仿宋" w:hAnsi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/>
        <w:trPr>
          <w:trHeight w:val="701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ind w:left="0"/>
              <w:rPr>
                <w:rFonts w:ascii="仿宋" w:cs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有：</w:t>
            </w:r>
          </w:p>
          <w:p>
            <w:pPr>
              <w:pStyle w:val="style4098"/>
              <w:ind w:left="0"/>
              <w:rPr>
                <w:rFonts w:ascii="仿宋" w:cs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发热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  <w:p>
            <w:pPr>
              <w:pStyle w:val="style4098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</w:tr>
    </w:tbl>
    <w:p>
      <w:pPr>
        <w:pStyle w:val="style0"/>
        <w:tabs>
          <w:tab w:val="left" w:leader="none" w:pos="3552"/>
          <w:tab w:val="left" w:leader="none" w:pos="3977"/>
          <w:tab w:val="left" w:leader="none" w:pos="8593"/>
        </w:tabs>
        <w:spacing w:before="3"/>
        <w:ind w:left="256"/>
        <w:rPr>
          <w:sz w:val="28"/>
          <w:szCs w:val="28"/>
        </w:rPr>
      </w:pPr>
    </w:p>
    <w:p>
      <w:pPr>
        <w:pStyle w:val="style0"/>
        <w:tabs>
          <w:tab w:val="left" w:leader="none" w:pos="4910"/>
          <w:tab w:val="left" w:leader="none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</w:t>
      </w:r>
      <w:r>
        <w:rPr>
          <w:sz w:val="28"/>
          <w:szCs w:val="28"/>
        </w:rPr>
        <w:t>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</w:t>
      </w:r>
      <w:r>
        <w:rPr>
          <w:rFonts w:hint="eastAsia"/>
          <w:sz w:val="28"/>
          <w:szCs w:val="28"/>
          <w:lang w:val="en-US"/>
        </w:rPr>
        <w:t>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pStyle w:val="style0"/>
        <w:tabs>
          <w:tab w:val="left" w:leader="none" w:pos="3552"/>
          <w:tab w:val="left" w:leader="none" w:pos="3977"/>
          <w:tab w:val="left" w:leader="none" w:pos="8593"/>
        </w:tabs>
        <w:spacing w:before="3"/>
        <w:ind w:left="220" w:leftChars="100"/>
        <w:jc w:val="center"/>
        <w:rPr>
          <w:rFonts w:ascii="Times New Roman" w:hint="eastAsia"/>
          <w:sz w:val="28"/>
          <w:szCs w:val="28"/>
          <w:lang w:val="en-US"/>
        </w:rPr>
      </w:pPr>
    </w:p>
    <w:bookmarkStart w:id="0" w:name="_GoBack"/>
    <w:bookmarkEnd w:id="0"/>
    <w:p>
      <w:pPr>
        <w:pStyle w:val="style0"/>
        <w:tabs>
          <w:tab w:val="left" w:leader="none" w:pos="3552"/>
          <w:tab w:val="left" w:leader="none" w:pos="3977"/>
          <w:tab w:val="left" w:leader="none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>
      <w:type w:val="continuous"/>
      <w:pgSz w:w="11910" w:h="16840" w:orient="portrait"/>
      <w:pgMar w:top="46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link w:val="style4099"/>
    <w:qFormat/>
    <w:uiPriority w:val="1"/>
    <w:pPr>
      <w:widowControl w:val="false"/>
      <w:autoSpaceDE w:val="false"/>
      <w:autoSpaceDN w:val="false"/>
    </w:pPr>
    <w:rPr>
      <w:rFonts w:ascii="宋体" w:cs="宋体" w:hAnsi="宋体"/>
      <w:sz w:val="22"/>
      <w:szCs w:val="22"/>
      <w:lang w:val="zh-CN" w:bidi="zh-CN"/>
    </w:rPr>
  </w:style>
  <w:style w:type="paragraph" w:styleId="style1">
    <w:name w:val="heading 1"/>
    <w:basedOn w:val="style0"/>
    <w:next w:val="style0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spacing w:before="18"/>
      <w:ind w:left="115"/>
    </w:pPr>
    <w:rPr/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>
      <w:ind w:left="172"/>
    </w:pPr>
    <w:rPr/>
  </w:style>
  <w:style w:type="character" w:customStyle="1" w:styleId="style4099">
    <w:name w:val="NormalCharacter"/>
    <w:next w:val="style4099"/>
    <w:link w:val="style4103"/>
    <w:qFormat/>
    <w:rPr>
      <w:rFonts w:ascii="宋体" w:cs="宋体" w:eastAsia="宋体" w:hAnsi="宋体"/>
      <w:sz w:val="22"/>
      <w:szCs w:val="22"/>
      <w:lang w:val="zh-CN" w:bidi="zh-CN" w:eastAsia="zh-CN"/>
    </w:rPr>
  </w:style>
  <w:style w:type="paragraph" w:styleId="style31">
    <w:name w:val="header"/>
    <w:basedOn w:val="style0"/>
    <w:next w:val="style31"/>
    <w:link w:val="style410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0">
    <w:name w:val="页眉 Char"/>
    <w:basedOn w:val="style65"/>
    <w:next w:val="style4100"/>
    <w:link w:val="style31"/>
    <w:rPr>
      <w:rFonts w:ascii="宋体" w:cs="宋体" w:hAnsi="宋体"/>
      <w:sz w:val="18"/>
      <w:szCs w:val="18"/>
      <w:lang w:val="zh-CN" w:bidi="zh-CN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character" w:customStyle="1" w:styleId="style4101">
    <w:name w:val="页脚 Char"/>
    <w:basedOn w:val="style65"/>
    <w:next w:val="style4101"/>
    <w:link w:val="style32"/>
    <w:rPr>
      <w:rFonts w:ascii="宋体" w:cs="宋体" w:hAnsi="宋体"/>
      <w:sz w:val="18"/>
      <w:szCs w:val="18"/>
      <w:lang w:val="zh-CN" w:bidi="zh-CN"/>
    </w:rPr>
  </w:style>
  <w:style w:type="paragraph" w:styleId="style153">
    <w:name w:val="Balloon Text"/>
    <w:basedOn w:val="style0"/>
    <w:next w:val="style153"/>
    <w:link w:val="style4102"/>
    <w:pPr/>
    <w:rPr>
      <w:sz w:val="18"/>
      <w:szCs w:val="18"/>
    </w:rPr>
  </w:style>
  <w:style w:type="character" w:customStyle="1" w:styleId="style4102">
    <w:name w:val="批注框文本 Char"/>
    <w:basedOn w:val="style65"/>
    <w:next w:val="style4102"/>
    <w:link w:val="style153"/>
    <w:rPr>
      <w:rFonts w:ascii="宋体" w:cs="宋体" w:hAnsi="宋体"/>
      <w:sz w:val="18"/>
      <w:szCs w:val="18"/>
      <w:lang w:val="zh-CN" w:bidi="zh-CN"/>
    </w:rPr>
  </w:style>
  <w:style w:type="paragraph" w:customStyle="1" w:styleId="style4103">
    <w:name w:val="UserStyle_0"/>
    <w:basedOn w:val="style0"/>
    <w:next w:val="style4103"/>
    <w:link w:val="style4099"/>
    <w:pPr>
      <w:widowControl/>
      <w:autoSpaceDE/>
      <w:autoSpaceDN/>
      <w:jc w:val="both"/>
      <w:textAlignment w:val="baselin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1521</Words>
  <Pages>2</Pages>
  <Characters>1581</Characters>
  <Application>WPS Office</Application>
  <DocSecurity>0</DocSecurity>
  <Paragraphs>90</Paragraphs>
  <ScaleCrop>false</ScaleCrop>
  <LinksUpToDate>false</LinksUpToDate>
  <CharactersWithSpaces>1677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2022-06-16T01:56:00Z</dcterms:created>
  <dc:creator>T450</dc:creator>
  <lastModifiedBy>NOP-AN00</lastModifiedBy>
  <lastPrinted>2021-05-31T11:23:00Z</lastPrinted>
  <dcterms:modified xsi:type="dcterms:W3CDTF">2022-06-23T04:02:27Z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