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昭苏县引进大学生村党支部书记后备干部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岗位表</w:t>
      </w:r>
    </w:p>
    <w:tbl>
      <w:tblPr>
        <w:tblStyle w:val="3"/>
        <w:tblW w:w="88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351"/>
        <w:gridCol w:w="1802"/>
        <w:gridCol w:w="625"/>
        <w:gridCol w:w="449"/>
        <w:gridCol w:w="855"/>
        <w:gridCol w:w="735"/>
        <w:gridCol w:w="540"/>
        <w:gridCol w:w="570"/>
        <w:gridCol w:w="716"/>
        <w:gridCol w:w="6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default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代码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族别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昭苏镇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5"/>
                <w:rFonts w:hint="default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昭苏镇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喀夏加尔镇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喀夏加尔镇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喀拉苏镇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2005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喀拉苏镇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阿克达拉镇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阿克达拉镇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2008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洪纳海镇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洪纳海镇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乌尊布拉克乡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乌尊布拉克乡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萨尔阔布乡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萨尔阔布乡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察汗乌苏乡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察汗乌苏乡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夏特乡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夏特乡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胡松图哈尔逊乡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胡松图哈尔逊乡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>后备干部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6FBA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2020-07-20T12:15:23Z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