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autoSpaceDE/>
        <w:autoSpaceDN/>
        <w:bidi w:val="0"/>
        <w:spacing w:line="360" w:lineRule="exact"/>
        <w:jc w:val="both"/>
        <w:rPr>
          <w:rFonts w:hint="default" w:ascii="仿宋_GB2312" w:hAnsi="仿宋_GB2312" w:eastAsia="仿宋_GB2312" w:cs="仿宋_GB2312"/>
          <w:b w:val="0"/>
          <w:bCs w:val="0"/>
          <w:color w:val="0D0D0D" w:themeColor="text1" w:themeTint="F2"/>
          <w:sz w:val="32"/>
          <w:szCs w:val="32"/>
          <w:lang w:val="en-US"/>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kern w:val="2"/>
          <w:sz w:val="32"/>
          <w:szCs w:val="32"/>
          <w:lang w:val="en-US" w:eastAsia="zh-CN" w:bidi="ar-SA"/>
          <w14:textFill>
            <w14:solidFill>
              <w14:schemeClr w14:val="tx1">
                <w14:lumMod w14:val="95000"/>
                <w14:lumOff w14:val="5000"/>
              </w14:schemeClr>
            </w14:solidFill>
          </w14:textFill>
        </w:rPr>
        <w:t>附件</w:t>
      </w:r>
      <w:r>
        <w:rPr>
          <w:rFonts w:hint="eastAsia" w:ascii="宋体" w:hAnsi="宋体" w:cs="宋体"/>
          <w:b w:val="0"/>
          <w:bCs w:val="0"/>
          <w:color w:val="0D0D0D" w:themeColor="text1" w:themeTint="F2"/>
          <w:kern w:val="2"/>
          <w:sz w:val="32"/>
          <w:szCs w:val="32"/>
          <w:lang w:val="en-US" w:eastAsia="zh-CN" w:bidi="ar-SA"/>
          <w14:textFill>
            <w14:solidFill>
              <w14:schemeClr w14:val="tx1">
                <w14:lumMod w14:val="95000"/>
                <w14:lumOff w14:val="5000"/>
              </w14:schemeClr>
            </w14:solidFill>
          </w14:textFill>
        </w:rPr>
        <w:t>1</w:t>
      </w:r>
    </w:p>
    <w:p>
      <w:pPr>
        <w:keepNext w:val="0"/>
        <w:keepLines w:val="0"/>
        <w:pageBreakBefore w:val="0"/>
        <w:kinsoku/>
        <w:wordWrap/>
        <w:overflowPunct/>
        <w:topLinePunct w:val="0"/>
        <w:autoSpaceDE/>
        <w:autoSpaceDN/>
        <w:bidi w:val="0"/>
        <w:spacing w:line="360" w:lineRule="exact"/>
        <w:ind w:firstLine="640" w:firstLineChars="200"/>
        <w:jc w:val="cente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t>202</w:t>
      </w:r>
      <w:r>
        <w:rPr>
          <w:rFonts w:hint="eastAsia" w:ascii="方正小标宋简体" w:hAnsi="方正小标宋简体" w:eastAsia="方正小标宋简体" w:cs="方正小标宋简体"/>
          <w:color w:val="0D0D0D" w:themeColor="text1" w:themeTint="F2"/>
          <w:sz w:val="32"/>
          <w:szCs w:val="32"/>
          <w:lang w:val="en-US" w:eastAsia="zh-CN"/>
          <w14:textFill>
            <w14:solidFill>
              <w14:schemeClr w14:val="tx1">
                <w14:lumMod w14:val="95000"/>
                <w14:lumOff w14:val="5000"/>
              </w14:schemeClr>
            </w14:solidFill>
          </w14:textFill>
        </w:rPr>
        <w:t>3</w:t>
      </w:r>
      <w: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t>年中国（黑龙江）自由贸易试验区</w:t>
      </w:r>
    </w:p>
    <w:p>
      <w:pPr>
        <w:keepNext w:val="0"/>
        <w:keepLines w:val="0"/>
        <w:pageBreakBefore w:val="0"/>
        <w:kinsoku/>
        <w:wordWrap/>
        <w:overflowPunct/>
        <w:topLinePunct w:val="0"/>
        <w:autoSpaceDE/>
        <w:autoSpaceDN/>
        <w:bidi w:val="0"/>
        <w:spacing w:line="360" w:lineRule="exact"/>
        <w:ind w:firstLine="640" w:firstLineChars="200"/>
        <w:jc w:val="cente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t>哈尔滨片区</w:t>
      </w:r>
      <w:r>
        <w:rPr>
          <w:rFonts w:hint="eastAsia" w:ascii="方正小标宋简体" w:hAnsi="方正小标宋简体" w:eastAsia="方正小标宋简体" w:cs="方正小标宋简体"/>
          <w:color w:val="0D0D0D" w:themeColor="text1" w:themeTint="F2"/>
          <w:sz w:val="32"/>
          <w:szCs w:val="32"/>
          <w:lang w:val="en-US" w:eastAsia="zh-CN"/>
          <w14:textFill>
            <w14:solidFill>
              <w14:schemeClr w14:val="tx1">
                <w14:lumMod w14:val="95000"/>
                <w14:lumOff w14:val="5000"/>
              </w14:schemeClr>
            </w14:solidFill>
          </w14:textFill>
        </w:rPr>
        <w:t>管理局</w:t>
      </w:r>
      <w: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t>招聘计划表</w:t>
      </w:r>
    </w:p>
    <w:p>
      <w:pPr>
        <w:keepNext w:val="0"/>
        <w:keepLines w:val="0"/>
        <w:pageBreakBefore w:val="0"/>
        <w:kinsoku/>
        <w:wordWrap/>
        <w:overflowPunct/>
        <w:topLinePunct w:val="0"/>
        <w:autoSpaceDE/>
        <w:autoSpaceDN/>
        <w:bidi w:val="0"/>
        <w:spacing w:line="360" w:lineRule="exact"/>
        <w:ind w:firstLine="640" w:firstLineChars="200"/>
        <w:jc w:val="cente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pPr>
    </w:p>
    <w:tbl>
      <w:tblPr>
        <w:tblStyle w:val="5"/>
        <w:tblW w:w="500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
        <w:gridCol w:w="433"/>
        <w:gridCol w:w="456"/>
        <w:gridCol w:w="452"/>
        <w:gridCol w:w="6234"/>
        <w:gridCol w:w="496"/>
        <w:gridCol w:w="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岗位</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序号</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岗位</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代码</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岗位</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名称</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both"/>
              <w:textAlignment w:val="cente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招聘</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人数</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招聘条件</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年龄</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要求</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年薪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0"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GLJ01</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副局长</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1.熟悉自贸试验区政策、国际</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通行</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贸易规则、对俄合作、产业发展、政策研究等相关工作，具有较强的开拓创新意识，具有良好的团队管理和组织协调能力，具备较强的项目推进能力</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、实际问题分析及解决能力、信息汇总整合能力及文字表达能力</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2.担任过下列职务之一，且任职5年以上：</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副处级及以上</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国企、党政部门、事业单位处级正职（含相当职务）及以上；</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等国内外大型企业主要领导职务及以上；</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int="default"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3.原则上应</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熟练掌握一门外语</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int="default"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.具备</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不少于3年</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海外工作背景（不包括学习经历）</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int="default"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5.统招硕士研究生</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及以上</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6</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.特别优秀者，</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学历及年龄</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5"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2</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GLJ02</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处长</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1.熟悉自贸试验区政策、国际</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通行</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贸易规则、对俄合作、产业发展、政策研究等相关工作，具有较强的开拓创新意识，具有良好的团队管理和组织协调能力，具备较强的项目推进能力；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2.担任过下列职务之一，且任职3年以上：</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副处级及以上</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国企、党政部门、事业单位、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法定机构</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处级正职（含相当职务）及以上；</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等国内外大型企业中层领导职务及以上；主持或参与完成过国家级重大项目者可放宽工作年限；</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.具有自贸试验区工作经验的博士学位或具有10年以上在国家、省、市商务、发改、营商环境相关部门从政经历者可优先；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统招硕士研究生及以上学历；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5.须具备至少1年及以上自贸试验区</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相关</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工作经验。</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40周岁及以下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0"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GLJ03</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副处长</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2</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国家综合产业发展政策和自贸试验区政策，熟悉世界银行评价体系、工商管理、国际贸易、外事、对外合作、行政审批、信用体系建设、营商环境监督、法律、金融工作，具有较强的谈判协商能力和开拓创新意识，具有良好的团队管理和组织协调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2.担任过下列职务之一：任职3年</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以上的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科级或</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等国内外大型企业中层副职（含相当职务）</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或</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法定机构</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副处级（含相当职务）</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及以上</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具备</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10年以上工作经验</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法定机构</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正科级职务（含相当职务）；主持或参与完成过国家级重大项目者可放宽工作年限；</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具</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有国家级开发区、自贸区工作经验者优先；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4.具有5年以上国家、省、市商务、经济、科技、投资、营商环境、法律、金融相关从政经历者优先；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5.原则上应具有统招硕士研究生</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及以上</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6.</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特别优秀者，学历</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年龄可适当放宽。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40周岁及以下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5"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GLJ04</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政务运转部部长</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国家级开发区发展政策和自贸试验区政策，熟悉世界银行评价体系、工商管理、国际贸易、外事、对外合作、行政审批、信用体系建设、营商环境监督工作，具有较强的谈判协商能力和开拓创新意识，具有良好的团队管理和组织协调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2.担任过下列职务之一：任职3年</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以上的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工作经历或</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等国内外大型企业领导岗位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或</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党政部门、事业单位正科级（含相当职务）以上；具备8年以上工作经验</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党政部门、事业单位副科级职务（含相当职务）；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具有国家级开发区、自贸区工作经验者优先；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.具有</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央企、国企、500强、上市公司等国内外大型企业办公室主任及相应职位</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.原则上应具有统招硕士研究生</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及以上学历</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6.</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特别优秀者，学历</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年龄可适当放宽。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40周岁以下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5"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5</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GLJ05</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创新协调部部长</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1.熟悉国家综合产业发展政策和自贸试验区政策，熟悉世界银行评价体系、工商管理、国际贸易、外事、对外合作、行政审批、信用体系建设、营商环境监督工作，具有较强的谈判协商能力和开拓创新意识，具有良好的团队管理和组织协</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调能力；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2.担任过下列职务之一：任职3年</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以上的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工作经历或</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等国内外大型企业领导岗位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或</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党政部门、事业单位正科级（含相当职务）以上；具备8年以上工作经验</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党政部门、事业单位副科级职务（含相当职务）；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3.具有国家级开发区、自贸区工作经验者优先；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4.具有5年以上国家、省、市商务、</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发改</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统计、</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科技、投资、营商环境相关从政经历者可优先；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5.原则上应具有统招硕士研究生学历；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6.</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特别优秀者，学历</w:t>
            </w: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及</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年龄可适当放宽。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40周岁及以下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0"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6</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GLJ06</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综合发展部部长</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1.熟悉国家综合产业发展政策和自贸试验区政策，熟悉世界银行评价体系、工商管理、国际贸易、外事、对外合作、行政审批、信用体系建设、营商环境监督、法律、金融工作，具有较强的</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谈判协商能力和开拓创新意识，具有良好的团队管理和组织协调能力；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2.担任过下列职务之一：任职3年</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以上的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工作经历或</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等国内外大型企业领导岗位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或</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党政部门、事业单位正科级（含相当职务）以上；具备8年以上工作经验</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党政部门、事业单位副科级职务（含相当职务）；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3.主要参与完成过国家重大项目，或主持编制完成</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国家级开发区、地市级及以上的</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发展规划、产业规划</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等工作经验者优先</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4.具有5年以上国家、省、市商务、</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发改</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统计、</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科技、投资、营商环境、法律、金融相关从政经历者可优先；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5.原则上应具有统招硕士研究生学历；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6.</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特别优秀者，学历</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年龄可适当放宽。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40周岁及以下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2"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7</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GLJ07</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政务运转部副部长</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1.熟悉国家级开发区发展政策和自贸试验区政策，熟悉世界银行评价体系、工商管理、国际贸易、外事、对外合作、行政审批、信用体系建设、营商环境监督工作，具有较强的谈判协商能力和开拓创新意识，具有良好的团队管理和组织协调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2.担任过下列职务之一：</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等国内外大型企业领导岗位；</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党政部门、事业单位副科级（含相当职务）以上；具备</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年以上工作经验</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法定机构工作人员</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3</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.具有知名公司董事长助理等办公室综合工作经验者优先；具有3年以上国家、省、市商务、</w:t>
            </w: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发改</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、科技、投资、营商环境相关从政经历者优先；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4</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.原则上应具有统招硕士研究生学历；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5.</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特别优秀者，学历</w:t>
            </w: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及</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年龄可适当放宽。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40周岁以下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7"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8</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GLJ08</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创新协调部副部长</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1.熟悉国家综合产业发展政策和自贸试验区政策，熟悉世界银行评价体系、工商管理、国际贸易、外事、对外合作、行政审批、信用体系建设、营商环境监督工作，具有较强的谈判协商能力和开拓创新意识，具有良好的团队管理和组织协</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调能力；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等国内外大型企业领导岗位；</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党政部门、事业单位副科级（含相当职务）以上；具备</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年以上工作经验</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法定机构工作人员；</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3.具有独立完成规划、报告</w:t>
            </w: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等综合性材料</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能力者优先；具有国家级开发区或自贸区工作经验者优先；具有3年以上国家、省、市商务、</w:t>
            </w: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发改</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、科技、投资、营商环境相关从政经历者可优先；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4.原则上应具有统招硕士研究生学历；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5.</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特别优秀者，学历</w:t>
            </w: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及</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年龄可适当放宽。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40周岁及以下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5"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9</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GLJ09</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综合发展部副部长</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1.熟悉国家综合产业发展政策和自贸试验区政策，熟悉世界银行评价体系、工商管理、国际贸易、外事、对外合作、行政审批、信用体系建设、营商环境监督工作，具有较强的谈判协商能力和开拓创新意识，具有良好的团队管理和组织协调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int="default"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等国内外大型企业领导岗位；</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党政部门、事业单位副科级（含相当职务）以上；具备</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年以上工作经验</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法定机构工作人员</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；主持或主要参与完成过（</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排名前3</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）省级以上重大项目</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者可适当放宽工作年限；</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3.主要参与</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编制完成过地市级以上发展规划、产业规划</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者优先</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4.具有3年以</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上国家、省、市商务、经济、科技、投资、营商环境相关从政经历</w:t>
            </w: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者</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可优先；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5.原则上应具有统招硕士研究生学历；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6.</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特别优秀者，学历</w:t>
            </w: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及</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年龄可适当放宽。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40周岁及以下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5"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10</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GLJ10</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政务运转部高级职员</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2</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1.熟悉国家综合产业发展政策和自贸试验区政策，熟悉办公室、国际贸易、对外联络和宣传推广工作，熟悉人事、财务、党建、会务等工作，具有较强的谈判协商能力和开拓创新意识，具有良好的团队管理和组织协调能力，具有3年以上相关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2.担任过</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下列职务之一者优先：</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相关单位1年以上工作经验</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法定机构3年以上工作经验</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3.具有国家级开发区或自贸区工作经验者，具有编制会</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议纪要、接待方案、调研方案等相关工作经验者，具有知名公司办公室综合工作经验者</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4.全日制硕士及以上学历；具有3年以上国家、省、市商务、外事、经济、金融、投资、审批、营商环境相关从政经历者可放宽至全日制普通大学本科及以上学历；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5.特别优秀的人才年龄</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及工作年限</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7"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11</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GLJ11</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创新协调部高级职员</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2</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国家综合产业发展政策和自贸试验区政策，熟悉世界银行评价体系、工商管理、国际贸易、外事、对外合作、行政审批、信用体系建设、营商环境监督工作，具有较强的谈判协商能力和开拓创新意识，具有良好的团队管理和组织协调能力，具有3年以上相关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2.担任过下列职务之一者优先：</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相关单位1年以上工作经验</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法定机构3年以上工作经验；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3.具有国家级开发区或自贸区工作经验者优先；具有独立完成规划、报告、政策能力者优先；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4.全日制硕士及以上学历；具有3年以上国家、省、市商务、外事、经济、金融、投资、审批、营商环境相关从政经历者可放宽至普通全日制普通大学本科及以上学历；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5.特别优秀的人才年龄</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及工作年限</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0"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12</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GLJ12</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综合发展部高级职员</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2</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国家综合产业发展政策和自贸试验区政策，熟悉世界银行评价体系、工商管理、国际贸易、外事、对外合作、行政审批、营商环境、产业规划或者城市规划，具有较强的谈判协商能力和开拓创新意识，具有良好的团队管理和组织协调能力，具有3年以上相关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2.担任过下列职务之一者优先：</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相关单位1年以上工作经验</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法定机构3年以上工作经验；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3.具有国家级开发区或自贸区工作经验者优先；具有独立完成规划、报告、政策能力者优先；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4.全日制硕士及以上学历；具有3年以上国家、省、市商务、外事、经济、金融、投资、审批、营商环境、法律、金融相关从政经历者可放宽至普通全日制普通大学本科及以上学历；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5.特别优秀的人才年龄</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及工作年限</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0"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13</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GLJ13</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政务运转部中级职员</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2</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1.熟悉自贸试验区政策，具有较强的协调能力、文字综合能力；熟悉办公室、国际贸易、对外联络和宣传推广工作，具有3年以上相关工作经验；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2.工作仔细认真、责任心强、为人正直，具备较强的书面和口头表达能力；</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央企、国企、事业单位、国家级开发区或自贸区工作经验者</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优先；具有编制会议纪要、接待方案、调研方案等相关工作经验者优先；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全日制本科</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及以上学历或具有财务、管理、经济、金融、法学等相关学位的出国留学人员（学历经教育部认定）；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default"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5.特别优秀的人才工作年限可适当放宽。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5"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14</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GLJ14</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创新协调部中级职员</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2</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1.熟悉自贸试验区政策，具有较强的协调能力、文字综合能力；熟悉制度创新、内外贸、审批提效、国际金融、外资招商和宣传推广工作，具有3年以上相关工作经验；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2.工作仔细认真、责任心强、为人正直，具备较强的书面表</w:t>
            </w:r>
            <w:bookmarkStart w:id="0" w:name="_GoBack"/>
            <w:bookmarkEnd w:id="0"/>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达能力；</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央企、国企、事业单位、国家级开发区或自贸区工作经验者</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优先；具有编制规划、报告、政策等相关工作经验者优先；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4.全日制硕士及以上学历；具有3年以上国家、省、市商务、外事、经济、金融、投资、审批、营商环境、法律、金融相关从政经历者可放宽至普通全日制普通大学本科及以上学历；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5.特别优秀的人才学历及工作年限可适当放宽。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5"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15</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GLJ15</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综合发展部中级职员</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auto"/>
                <w:sz w:val="24"/>
                <w:szCs w:val="24"/>
                <w:u w:val="none"/>
                <w:shd w:val="clear" w:color="auto" w:fill="auto"/>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3</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1.熟悉自贸试验区政策，具有较强的协调能力、文字综合能力；熟悉制度创新、产业发展、战略规划、对外合作、政策制定、新闻宣传、法律、金融工作，具有3年以上相关工作经验；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2.工作仔细认真、责任心强、为人正直，具备较强的书面表达能力；</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央企、国企、事业单位、国家级开发区或自贸区工作经验者</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优先；具有编制规划、报告、政策等相关工作经验者优先；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4.全日制硕士及以上学历；具有3年以上国家、省、市商务、外事、经济、金融、投资、审批、营商环境、法律、金融相关从政经历者可放宽至普通全日制普通大学本科及以上学历；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5.特别优秀的人才学历及工作年限可适当放宽。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2"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16</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GLJ16</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政务运转部初级职员</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1.熟悉自贸试验区政策，具有较强的协调能力、文字综合能力；熟悉办公室、国际贸易、对外联络和宣传推广工作；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2.工作仔细认真、责任心强、为人正直，</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可坚守岗位，</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具备较强的书面和口头表达能力；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央企、国企、事业单位、开发区或自贸区工作经验者</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优先；具备会务接待、人事、财务、机关党建等工作经验者优先；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4.全日制本科及以上学历或具有财务、管理、经济、法学、国际等相关学位的出国留学人员（学历经教育部认定）。</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宋体" w:hAnsi="宋体" w:cs="宋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5"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17</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GLJ17</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创新协调部初级职员</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3</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1.熟悉自贸试验区政策，具有较强的协调能力、文字综合能力；熟悉制度创新、内外贸、审批提效、国际金融、外资招商和宣传推广工作；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2.工作仔细认真、责任心强、为人正直，具备较强的书面和口头表达能力；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央企、国企、事业单位、开发区或自贸区工作经验者</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优先；具有编制规划、报告、政策等相关工作经验者优先；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4.全日制硕士及以上学历；具有</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年以上国家、省、市商务、外事、经济、金融、投资、审批、营商环境、法律、金融相关从政经历者可放宽至普通全日制普通大学本科及以上学历；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5.特别优秀的人才学历可适当放宽。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宋体" w:hAnsi="宋体" w:cs="宋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5" w:hRule="atLeast"/>
        </w:trPr>
        <w:tc>
          <w:tcPr>
            <w:tcW w:w="27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18</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GLJ18</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综合发展部初级职员</w:t>
            </w:r>
          </w:p>
        </w:tc>
        <w:tc>
          <w:tcPr>
            <w:tcW w:w="24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w:t>
            </w:r>
          </w:p>
        </w:tc>
        <w:tc>
          <w:tcPr>
            <w:tcW w:w="343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1.熟悉自贸试验区政策，具有较强的协调能力、文字综合能力；熟悉制度创新、产业发展、战略规划、对外合作、政策制定、新闻宣传、法律、金融工作；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2.工作仔细认真、责任心强、为人正直，具备较强的书面和口头表达能力；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央企、国企、事业单位、开发区或自贸区工作经验者</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优先；具有编制规划、报告、政策等相关工作经验者优先；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4.全日制硕士及以上学历；具有</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年以上国家、省、市商务、外事、经济、金融、投资、审批、营商环境、法律、金融相关从政经历者可放宽至普通全日制普通大学本科及以上学历；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5.特别优秀的人才学历可适当放宽。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宋体" w:hAnsi="宋体" w:cs="宋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bl>
    <w:p>
      <w:pPr>
        <w:keepNext w:val="0"/>
        <w:keepLines w:val="0"/>
        <w:pageBreakBefore w:val="0"/>
        <w:kinsoku/>
        <w:wordWrap/>
        <w:overflowPunct/>
        <w:topLinePunct w:val="0"/>
        <w:autoSpaceDE/>
        <w:autoSpaceDN/>
        <w:bidi w:val="0"/>
        <w:spacing w:line="360" w:lineRule="exact"/>
        <w:jc w:val="both"/>
        <w:rPr>
          <w:rFonts w:hint="eastAsia" w:ascii="仿宋_GB2312" w:eastAsia="仿宋_GB2312"/>
          <w:color w:val="0D0D0D" w:themeColor="text1" w:themeTint="F2"/>
          <w:sz w:val="32"/>
          <w:szCs w:val="32"/>
          <w:lang w:eastAsia="zh-CN"/>
          <w14:textFill>
            <w14:solidFill>
              <w14:schemeClr w14:val="tx1">
                <w14:lumMod w14:val="95000"/>
                <w14:lumOff w14:val="5000"/>
              </w14:schemeClr>
            </w14:solidFill>
          </w14:textFill>
        </w:rPr>
      </w:pPr>
    </w:p>
    <w:sectPr>
      <w:footerReference r:id="rId3" w:type="default"/>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YTJmMGVhODlmNzk4MmQ1NDNiMDA2OGIyOThiMWQifQ=="/>
  </w:docVars>
  <w:rsids>
    <w:rsidRoot w:val="00000000"/>
    <w:rsid w:val="00325DBD"/>
    <w:rsid w:val="005D4603"/>
    <w:rsid w:val="00D306DE"/>
    <w:rsid w:val="025A704C"/>
    <w:rsid w:val="034C72DC"/>
    <w:rsid w:val="036C003D"/>
    <w:rsid w:val="04712648"/>
    <w:rsid w:val="0536303C"/>
    <w:rsid w:val="05EC26B0"/>
    <w:rsid w:val="07CD6512"/>
    <w:rsid w:val="07DF3C1C"/>
    <w:rsid w:val="08065580"/>
    <w:rsid w:val="08123F24"/>
    <w:rsid w:val="09D45935"/>
    <w:rsid w:val="0A0C1573"/>
    <w:rsid w:val="0B3923D4"/>
    <w:rsid w:val="0DB5782C"/>
    <w:rsid w:val="0E010E09"/>
    <w:rsid w:val="0F4E618A"/>
    <w:rsid w:val="0F53554E"/>
    <w:rsid w:val="0F8E47D8"/>
    <w:rsid w:val="107B175D"/>
    <w:rsid w:val="10857989"/>
    <w:rsid w:val="108A0767"/>
    <w:rsid w:val="10993435"/>
    <w:rsid w:val="10D426BF"/>
    <w:rsid w:val="122E5DFF"/>
    <w:rsid w:val="128679E9"/>
    <w:rsid w:val="12877A8F"/>
    <w:rsid w:val="1360023A"/>
    <w:rsid w:val="13826402"/>
    <w:rsid w:val="13C702B9"/>
    <w:rsid w:val="14984A52"/>
    <w:rsid w:val="15063063"/>
    <w:rsid w:val="15C94FAC"/>
    <w:rsid w:val="166167A3"/>
    <w:rsid w:val="16E66CA8"/>
    <w:rsid w:val="172C5003"/>
    <w:rsid w:val="184B14B9"/>
    <w:rsid w:val="186662F2"/>
    <w:rsid w:val="18C94AD3"/>
    <w:rsid w:val="193006AE"/>
    <w:rsid w:val="1ADF238C"/>
    <w:rsid w:val="1B610FF3"/>
    <w:rsid w:val="1BA809D0"/>
    <w:rsid w:val="1CD6156D"/>
    <w:rsid w:val="1E05402B"/>
    <w:rsid w:val="1FE7674F"/>
    <w:rsid w:val="20176124"/>
    <w:rsid w:val="20FC6D2E"/>
    <w:rsid w:val="22032C2E"/>
    <w:rsid w:val="224A5133"/>
    <w:rsid w:val="226C6BFB"/>
    <w:rsid w:val="22D622C7"/>
    <w:rsid w:val="23641680"/>
    <w:rsid w:val="23697E0E"/>
    <w:rsid w:val="23A777BF"/>
    <w:rsid w:val="25973F8F"/>
    <w:rsid w:val="263E5846"/>
    <w:rsid w:val="26ED5E31"/>
    <w:rsid w:val="27A860A9"/>
    <w:rsid w:val="27B54BA0"/>
    <w:rsid w:val="289742A6"/>
    <w:rsid w:val="28D02A86"/>
    <w:rsid w:val="297F5466"/>
    <w:rsid w:val="298760C9"/>
    <w:rsid w:val="29F01EC0"/>
    <w:rsid w:val="2B4A3852"/>
    <w:rsid w:val="2B942D1F"/>
    <w:rsid w:val="2C5002AE"/>
    <w:rsid w:val="2D40315E"/>
    <w:rsid w:val="2D542766"/>
    <w:rsid w:val="2DDC7D6A"/>
    <w:rsid w:val="2EDC78F6"/>
    <w:rsid w:val="2F57653D"/>
    <w:rsid w:val="307D1FD3"/>
    <w:rsid w:val="313E79B5"/>
    <w:rsid w:val="33955A45"/>
    <w:rsid w:val="34011730"/>
    <w:rsid w:val="34931DC5"/>
    <w:rsid w:val="34A52E51"/>
    <w:rsid w:val="34C765FB"/>
    <w:rsid w:val="35842776"/>
    <w:rsid w:val="36AE08DD"/>
    <w:rsid w:val="36CF10AF"/>
    <w:rsid w:val="37A34A15"/>
    <w:rsid w:val="37F92887"/>
    <w:rsid w:val="382A795E"/>
    <w:rsid w:val="38C033A5"/>
    <w:rsid w:val="38D62BC9"/>
    <w:rsid w:val="3934169D"/>
    <w:rsid w:val="39723147"/>
    <w:rsid w:val="39DA6885"/>
    <w:rsid w:val="3AB002C1"/>
    <w:rsid w:val="3AC151B3"/>
    <w:rsid w:val="3BBD3BCC"/>
    <w:rsid w:val="3BDA652C"/>
    <w:rsid w:val="3C0903B8"/>
    <w:rsid w:val="3C591B47"/>
    <w:rsid w:val="3DA17835"/>
    <w:rsid w:val="3F473ED8"/>
    <w:rsid w:val="409273D5"/>
    <w:rsid w:val="4140374B"/>
    <w:rsid w:val="41853D5D"/>
    <w:rsid w:val="418F1B67"/>
    <w:rsid w:val="422C694B"/>
    <w:rsid w:val="424641EF"/>
    <w:rsid w:val="42FC322C"/>
    <w:rsid w:val="438B3949"/>
    <w:rsid w:val="44373977"/>
    <w:rsid w:val="44CD4E80"/>
    <w:rsid w:val="45050ABD"/>
    <w:rsid w:val="487D5CC6"/>
    <w:rsid w:val="489A1243"/>
    <w:rsid w:val="48FD69B0"/>
    <w:rsid w:val="49031AE2"/>
    <w:rsid w:val="493F4C8F"/>
    <w:rsid w:val="4A7346B1"/>
    <w:rsid w:val="4A9A537F"/>
    <w:rsid w:val="4B367A60"/>
    <w:rsid w:val="4BF54CBC"/>
    <w:rsid w:val="4CCA6149"/>
    <w:rsid w:val="4D8309C1"/>
    <w:rsid w:val="4FB44E09"/>
    <w:rsid w:val="509F6E64"/>
    <w:rsid w:val="50DA6355"/>
    <w:rsid w:val="51167BAE"/>
    <w:rsid w:val="528306BB"/>
    <w:rsid w:val="537E34E2"/>
    <w:rsid w:val="547C5F7A"/>
    <w:rsid w:val="54D1276A"/>
    <w:rsid w:val="55CA71B9"/>
    <w:rsid w:val="5630526E"/>
    <w:rsid w:val="56551179"/>
    <w:rsid w:val="56CE07C3"/>
    <w:rsid w:val="59D95C3A"/>
    <w:rsid w:val="5A0507C0"/>
    <w:rsid w:val="5A1924BD"/>
    <w:rsid w:val="5B46754A"/>
    <w:rsid w:val="5BE34B31"/>
    <w:rsid w:val="5C270EC2"/>
    <w:rsid w:val="5D2418A5"/>
    <w:rsid w:val="5DC50992"/>
    <w:rsid w:val="5EEE5CC7"/>
    <w:rsid w:val="60003F04"/>
    <w:rsid w:val="600A6B30"/>
    <w:rsid w:val="606F2E37"/>
    <w:rsid w:val="60B95140"/>
    <w:rsid w:val="60F35816"/>
    <w:rsid w:val="618E553F"/>
    <w:rsid w:val="620F6680"/>
    <w:rsid w:val="628D3A49"/>
    <w:rsid w:val="62BD462E"/>
    <w:rsid w:val="633914DA"/>
    <w:rsid w:val="646F1658"/>
    <w:rsid w:val="647C55F7"/>
    <w:rsid w:val="648A6492"/>
    <w:rsid w:val="652363B0"/>
    <w:rsid w:val="657E0F02"/>
    <w:rsid w:val="65DB5CAF"/>
    <w:rsid w:val="66081D64"/>
    <w:rsid w:val="66952ECC"/>
    <w:rsid w:val="671F7ECA"/>
    <w:rsid w:val="679D64DC"/>
    <w:rsid w:val="68476448"/>
    <w:rsid w:val="686D2352"/>
    <w:rsid w:val="695D4175"/>
    <w:rsid w:val="69886D18"/>
    <w:rsid w:val="6C726189"/>
    <w:rsid w:val="6CC43F5E"/>
    <w:rsid w:val="6CCF5389"/>
    <w:rsid w:val="6DCA78FF"/>
    <w:rsid w:val="6E001573"/>
    <w:rsid w:val="6E113780"/>
    <w:rsid w:val="6E946010"/>
    <w:rsid w:val="6EEB3FD1"/>
    <w:rsid w:val="6F1277AF"/>
    <w:rsid w:val="6FDA657A"/>
    <w:rsid w:val="711772FF"/>
    <w:rsid w:val="716A4C05"/>
    <w:rsid w:val="71C53A14"/>
    <w:rsid w:val="725D277F"/>
    <w:rsid w:val="728E1843"/>
    <w:rsid w:val="72914E8F"/>
    <w:rsid w:val="731735E6"/>
    <w:rsid w:val="7317496C"/>
    <w:rsid w:val="732E4011"/>
    <w:rsid w:val="73BA23EB"/>
    <w:rsid w:val="74212243"/>
    <w:rsid w:val="74844CAB"/>
    <w:rsid w:val="74AE1A56"/>
    <w:rsid w:val="74DF0134"/>
    <w:rsid w:val="74F6722B"/>
    <w:rsid w:val="74FD680C"/>
    <w:rsid w:val="751029E3"/>
    <w:rsid w:val="754777AE"/>
    <w:rsid w:val="7562780F"/>
    <w:rsid w:val="756F76BD"/>
    <w:rsid w:val="75780C69"/>
    <w:rsid w:val="75C07B2A"/>
    <w:rsid w:val="76946CFC"/>
    <w:rsid w:val="78745037"/>
    <w:rsid w:val="78DD2B13"/>
    <w:rsid w:val="79211D28"/>
    <w:rsid w:val="7940739B"/>
    <w:rsid w:val="7A7B26AD"/>
    <w:rsid w:val="7AB16449"/>
    <w:rsid w:val="7BAA4226"/>
    <w:rsid w:val="7C705B15"/>
    <w:rsid w:val="7CBB76D8"/>
    <w:rsid w:val="7E0C1BDF"/>
    <w:rsid w:val="7E4D1CC6"/>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0" w:beforeAutospacing="1" w:after="0" w:afterAutospacing="1"/>
      <w:ind w:left="0" w:right="0"/>
      <w:jc w:val="left"/>
    </w:pPr>
    <w:rPr>
      <w:kern w:val="0"/>
      <w:sz w:val="24"/>
      <w:lang w:val="en-US" w:eastAsia="zh-CN"/>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bjh-strong"/>
    <w:basedOn w:val="6"/>
    <w:qFormat/>
    <w:uiPriority w:val="0"/>
  </w:style>
  <w:style w:type="character" w:customStyle="1" w:styleId="10">
    <w:name w:val="font61"/>
    <w:basedOn w:val="6"/>
    <w:qFormat/>
    <w:uiPriority w:val="0"/>
    <w:rPr>
      <w:rFonts w:hint="eastAsia" w:ascii="仿宋_GB2312" w:eastAsia="仿宋_GB2312" w:cs="仿宋_GB2312"/>
      <w:color w:val="000000"/>
      <w:sz w:val="24"/>
      <w:szCs w:val="24"/>
      <w:u w:val="none"/>
    </w:rPr>
  </w:style>
  <w:style w:type="character" w:customStyle="1" w:styleId="11">
    <w:name w:val="font81"/>
    <w:basedOn w:val="6"/>
    <w:qFormat/>
    <w:uiPriority w:val="0"/>
    <w:rPr>
      <w:rFonts w:hint="eastAsia" w:ascii="仿宋_GB2312" w:eastAsia="仿宋_GB2312" w:cs="仿宋_GB2312"/>
      <w:b/>
      <w:bCs/>
      <w:color w:val="000000"/>
      <w:sz w:val="24"/>
      <w:szCs w:val="24"/>
      <w:u w:val="none"/>
    </w:rPr>
  </w:style>
  <w:style w:type="paragraph" w:styleId="12">
    <w:name w:val="No Spacing"/>
    <w:qFormat/>
    <w:uiPriority w:val="1"/>
    <w:pPr>
      <w:widowControl w:val="0"/>
      <w:jc w:val="both"/>
    </w:pPr>
    <w:rPr>
      <w:rFonts w:ascii="Calibri" w:hAnsi="Calibri" w:eastAsia="宋体" w:cs="宋体"/>
      <w:kern w:val="2"/>
      <w:sz w:val="21"/>
      <w:szCs w:val="22"/>
      <w:lang w:val="en-US" w:eastAsia="zh-CN" w:bidi="ar-SA"/>
    </w:rPr>
  </w:style>
  <w:style w:type="paragraph" w:customStyle="1" w:styleId="13">
    <w:name w:val="No Spacing_62b7de9d-db4b-4534-801a-70e923b415fe"/>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8428</Words>
  <Characters>8813</Characters>
  <Paragraphs>467</Paragraphs>
  <TotalTime>100</TotalTime>
  <ScaleCrop>false</ScaleCrop>
  <LinksUpToDate>false</LinksUpToDate>
  <CharactersWithSpaces>8879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2020-01-03T05:49:00Z</dcterms:created>
  <dc:creator>DELL</dc:creator>
  <cp:lastModifiedBy>曹果实</cp:lastModifiedBy>
  <cp:lastPrinted>2023-11-08T02:55:00Z</cp:lastPrinted>
  <dcterms:modified xsi:type="dcterms:W3CDTF">2023-11-08T05:20:46Z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044CDDB9F10A48FFB3F0547DFB5F4B94_13</vt:lpwstr>
  </property>
</Properties>
</file>