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jc w:val="center"/>
        <w:textAlignment w:val="auto"/>
        <w:rPr>
          <w:rFonts w:hint="eastAsia" w:ascii="华文中宋" w:hAnsi="华文中宋" w:eastAsia="华文中宋" w:cs="华文中宋"/>
          <w:color w:val="222222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222222"/>
          <w:kern w:val="0"/>
          <w:sz w:val="36"/>
          <w:szCs w:val="36"/>
        </w:rPr>
        <w:t>2021年陕西省</w:t>
      </w:r>
      <w:r>
        <w:rPr>
          <w:rFonts w:hint="eastAsia" w:ascii="华文中宋" w:hAnsi="华文中宋" w:eastAsia="华文中宋" w:cs="华文中宋"/>
          <w:color w:val="222222"/>
          <w:kern w:val="0"/>
          <w:sz w:val="36"/>
          <w:szCs w:val="36"/>
          <w:lang w:eastAsia="zh-CN"/>
        </w:rPr>
        <w:t>妇女联合会</w:t>
      </w:r>
      <w:r>
        <w:rPr>
          <w:rFonts w:hint="eastAsia" w:ascii="华文中宋" w:hAnsi="华文中宋" w:eastAsia="华文中宋" w:cs="华文中宋"/>
          <w:color w:val="222222"/>
          <w:kern w:val="0"/>
          <w:sz w:val="36"/>
          <w:szCs w:val="36"/>
        </w:rPr>
        <w:t>直属事业单位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jc w:val="center"/>
        <w:textAlignment w:val="auto"/>
        <w:rPr>
          <w:rFonts w:hint="eastAsia" w:ascii="华文中宋" w:hAnsi="华文中宋" w:eastAsia="华文中宋" w:cs="华文中宋"/>
          <w:color w:val="222222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222222"/>
          <w:kern w:val="0"/>
          <w:sz w:val="36"/>
          <w:szCs w:val="36"/>
        </w:rPr>
        <w:t>公开招聘工作人员进入</w:t>
      </w:r>
      <w:bookmarkStart w:id="0" w:name="_GoBack"/>
      <w:r>
        <w:rPr>
          <w:rFonts w:hint="eastAsia" w:ascii="华文中宋" w:hAnsi="华文中宋" w:eastAsia="华文中宋" w:cs="华文中宋"/>
          <w:color w:val="222222"/>
          <w:kern w:val="0"/>
          <w:sz w:val="36"/>
          <w:szCs w:val="36"/>
        </w:rPr>
        <w:t>面试人员情况表</w:t>
      </w:r>
      <w:bookmarkEnd w:id="0"/>
    </w:p>
    <w:tbl>
      <w:tblPr>
        <w:tblStyle w:val="7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987"/>
        <w:gridCol w:w="2039"/>
        <w:gridCol w:w="1737"/>
        <w:gridCol w:w="1444"/>
        <w:gridCol w:w="1544"/>
        <w:gridCol w:w="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b/>
                <w:bCs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2B2B2B"/>
                <w:kern w:val="0"/>
                <w:sz w:val="28"/>
                <w:szCs w:val="28"/>
              </w:rPr>
              <w:t>序号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color w:val="2B2B2B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b/>
                <w:bCs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2B2B2B"/>
                <w:kern w:val="0"/>
                <w:sz w:val="28"/>
                <w:szCs w:val="28"/>
              </w:rPr>
              <w:t>事业单位</w:t>
            </w:r>
          </w:p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color w:val="2B2B2B"/>
                <w:kern w:val="0"/>
                <w:sz w:val="28"/>
                <w:szCs w:val="28"/>
              </w:rPr>
              <w:t>名称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color w:val="2B2B2B"/>
                <w:kern w:val="0"/>
                <w:sz w:val="28"/>
                <w:szCs w:val="28"/>
              </w:rPr>
              <w:t>岗位简称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color w:val="2B2B2B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张钿琴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1121300200830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陕西省妇女儿童活动中心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培训老师1</w:t>
            </w:r>
          </w:p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544" w:type="dxa"/>
            <w:vMerge w:val="restart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2119110046</w:t>
            </w: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成昕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1121300200901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张蓓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1121300200907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李雅琳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1121300201004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陕西省妇女儿童活动中心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培训老师2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hd w:val="clear" w:color="auto" w:fill="FFFFFF"/>
              </w:rPr>
              <w:t>2119110047</w:t>
            </w: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吴佳玉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1121300201101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马红霞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1121300201103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丰艺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1121300201208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陕西省妇女儿童活动中心</w:t>
            </w:r>
          </w:p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活动专干</w:t>
            </w:r>
          </w:p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544" w:type="dxa"/>
            <w:vMerge w:val="restart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hd w:val="clear" w:color="auto" w:fill="FFFFFF"/>
              </w:rPr>
              <w:t>2119110048</w:t>
            </w:r>
          </w:p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田昕雨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1121300201210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申甘霖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1121300201213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雷蕾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1121300201316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陕西省妇女儿童活动中心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法律专干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hd w:val="clear" w:color="auto" w:fill="FFFFFF"/>
              </w:rPr>
              <w:t>2119110049</w:t>
            </w: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何淼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1121300201411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邓媛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1121300201413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贾怡玥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1121300201422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陕西省西安幼儿园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财务人员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2119110052</w:t>
            </w: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穆露萍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1121300201501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卫青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1121300201520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师莹莹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1121300201525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陕西省西安幼儿园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综合管理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2119110053</w:t>
            </w: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B2B2B"/>
                <w:sz w:val="24"/>
                <w:shd w:val="clear" w:color="auto" w:fill="FFFFFF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姚舒嵘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1121300201528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92" w:type="dxa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王锐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1121300201604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uppressAutoHyphens/>
              <w:jc w:val="center"/>
              <w:rPr>
                <w:rFonts w:ascii="仿宋_GB2312" w:hAnsi="仿宋_GB2312" w:eastAsia="仿宋_GB2312" w:cs="仿宋_GB2312"/>
                <w:color w:val="2B2B2B"/>
                <w:sz w:val="24"/>
                <w:shd w:val="clear" w:color="auto" w:fill="FFFFFF"/>
              </w:rPr>
            </w:pPr>
          </w:p>
        </w:tc>
      </w:tr>
    </w:tbl>
    <w:p>
      <w:pPr>
        <w:suppressAutoHyphens/>
        <w:spacing w:before="226" w:line="450" w:lineRule="atLeas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注：各岗位</w:t>
      </w:r>
      <w:r>
        <w:rPr>
          <w:rFonts w:hint="eastAsia" w:ascii="宋体" w:hAnsi="宋体"/>
          <w:color w:val="000000"/>
          <w:kern w:val="0"/>
          <w:sz w:val="24"/>
          <w:lang w:eastAsia="zh-CN"/>
        </w:rPr>
        <w:t>考生</w:t>
      </w:r>
      <w:r>
        <w:rPr>
          <w:rFonts w:hint="eastAsia" w:ascii="宋体" w:hAnsi="宋体"/>
          <w:color w:val="000000"/>
          <w:kern w:val="0"/>
          <w:sz w:val="24"/>
        </w:rPr>
        <w:t>排序按准考证号码由小到大的顺序确定。</w:t>
      </w:r>
    </w:p>
    <w:p>
      <w:pPr>
        <w:widowControl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5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3F"/>
    <w:rsid w:val="00064128"/>
    <w:rsid w:val="0050713F"/>
    <w:rsid w:val="00EF34D0"/>
    <w:rsid w:val="0950600F"/>
    <w:rsid w:val="1E812DCC"/>
    <w:rsid w:val="202C2114"/>
    <w:rsid w:val="24A66D6C"/>
    <w:rsid w:val="25CF23AA"/>
    <w:rsid w:val="29D67953"/>
    <w:rsid w:val="2BD96F86"/>
    <w:rsid w:val="2FEFAEB0"/>
    <w:rsid w:val="327B1CC0"/>
    <w:rsid w:val="36AB2932"/>
    <w:rsid w:val="47442738"/>
    <w:rsid w:val="491040EC"/>
    <w:rsid w:val="567CA517"/>
    <w:rsid w:val="592E5125"/>
    <w:rsid w:val="5FDEE624"/>
    <w:rsid w:val="67FEA097"/>
    <w:rsid w:val="69BB0949"/>
    <w:rsid w:val="6E3076A9"/>
    <w:rsid w:val="78F775D7"/>
    <w:rsid w:val="7F9F43F9"/>
    <w:rsid w:val="7FBF70F3"/>
    <w:rsid w:val="7FDF7249"/>
    <w:rsid w:val="A7D7EB5A"/>
    <w:rsid w:val="B2BE3064"/>
    <w:rsid w:val="F773E899"/>
    <w:rsid w:val="FB7A58C6"/>
    <w:rsid w:val="FD5B8DE6"/>
    <w:rsid w:val="FFFF45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character" w:customStyle="1" w:styleId="12">
    <w:name w:val="taojianghu"/>
    <w:basedOn w:val="8"/>
    <w:qFormat/>
    <w:uiPriority w:val="0"/>
  </w:style>
  <w:style w:type="character" w:customStyle="1" w:styleId="13">
    <w:name w:val="renren"/>
    <w:basedOn w:val="8"/>
    <w:qFormat/>
    <w:uiPriority w:val="0"/>
  </w:style>
  <w:style w:type="character" w:customStyle="1" w:styleId="14">
    <w:name w:val="wangyi"/>
    <w:basedOn w:val="8"/>
    <w:qFormat/>
    <w:uiPriority w:val="0"/>
  </w:style>
  <w:style w:type="character" w:customStyle="1" w:styleId="15">
    <w:name w:val="tit"/>
    <w:basedOn w:val="8"/>
    <w:qFormat/>
    <w:uiPriority w:val="0"/>
  </w:style>
  <w:style w:type="character" w:customStyle="1" w:styleId="16">
    <w:name w:val="copylink"/>
    <w:basedOn w:val="8"/>
    <w:qFormat/>
    <w:uiPriority w:val="0"/>
  </w:style>
  <w:style w:type="character" w:customStyle="1" w:styleId="17">
    <w:name w:val="tengxunweibo"/>
    <w:basedOn w:val="8"/>
    <w:qFormat/>
    <w:uiPriority w:val="0"/>
  </w:style>
  <w:style w:type="character" w:customStyle="1" w:styleId="18">
    <w:name w:val="baidusoucang"/>
    <w:basedOn w:val="8"/>
    <w:qFormat/>
    <w:uiPriority w:val="0"/>
  </w:style>
  <w:style w:type="character" w:customStyle="1" w:styleId="19">
    <w:name w:val="xinlang"/>
    <w:basedOn w:val="8"/>
    <w:qFormat/>
    <w:uiPriority w:val="0"/>
  </w:style>
  <w:style w:type="character" w:customStyle="1" w:styleId="20">
    <w:name w:val="qqzone"/>
    <w:basedOn w:val="8"/>
    <w:qFormat/>
    <w:uiPriority w:val="0"/>
  </w:style>
  <w:style w:type="character" w:customStyle="1" w:styleId="21">
    <w:name w:val="sohu"/>
    <w:basedOn w:val="8"/>
    <w:qFormat/>
    <w:uiPriority w:val="0"/>
  </w:style>
  <w:style w:type="character" w:customStyle="1" w:styleId="22">
    <w:name w:val="qqpengyou"/>
    <w:basedOn w:val="8"/>
    <w:qFormat/>
    <w:uiPriority w:val="0"/>
  </w:style>
  <w:style w:type="character" w:customStyle="1" w:styleId="23">
    <w:name w:val="kaixin"/>
    <w:basedOn w:val="8"/>
    <w:qFormat/>
    <w:uiPriority w:val="0"/>
  </w:style>
  <w:style w:type="character" w:customStyle="1" w:styleId="24">
    <w:name w:val="douban"/>
    <w:basedOn w:val="8"/>
    <w:qFormat/>
    <w:uiPriority w:val="0"/>
  </w:style>
  <w:style w:type="character" w:customStyle="1" w:styleId="25">
    <w:name w:val="hover"/>
    <w:basedOn w:val="8"/>
    <w:qFormat/>
    <w:uiPriority w:val="0"/>
    <w:rPr>
      <w:color w:val="5FB878"/>
    </w:rPr>
  </w:style>
  <w:style w:type="character" w:customStyle="1" w:styleId="26">
    <w:name w:val="hover1"/>
    <w:basedOn w:val="8"/>
    <w:qFormat/>
    <w:uiPriority w:val="0"/>
    <w:rPr>
      <w:color w:val="5FB878"/>
    </w:rPr>
  </w:style>
  <w:style w:type="character" w:customStyle="1" w:styleId="27">
    <w:name w:val="hover2"/>
    <w:basedOn w:val="8"/>
    <w:qFormat/>
    <w:uiPriority w:val="0"/>
    <w:rPr>
      <w:color w:val="FFFFFF"/>
    </w:rPr>
  </w:style>
  <w:style w:type="character" w:customStyle="1" w:styleId="28">
    <w:name w:val="layui-this2"/>
    <w:basedOn w:val="8"/>
    <w:qFormat/>
    <w:uiPriority w:val="0"/>
    <w:rPr>
      <w:bdr w:val="single" w:color="EEEEEE" w:sz="6" w:space="0"/>
      <w:shd w:val="clear" w:color="auto" w:fill="FFFFFF"/>
    </w:rPr>
  </w:style>
  <w:style w:type="character" w:customStyle="1" w:styleId="29">
    <w:name w:val="first-child"/>
    <w:basedOn w:val="8"/>
    <w:qFormat/>
    <w:uiPriority w:val="0"/>
  </w:style>
  <w:style w:type="character" w:customStyle="1" w:styleId="3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31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3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344</Words>
  <Characters>1966</Characters>
  <Lines>16</Lines>
  <Paragraphs>4</Paragraphs>
  <TotalTime>9</TotalTime>
  <ScaleCrop>false</ScaleCrop>
  <LinksUpToDate>false</LinksUpToDate>
  <CharactersWithSpaces>2306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2020-08-01T22:01:00Z</dcterms:created>
  <dc:creator>马丹</dc:creator>
  <cp:lastModifiedBy>Administrator</cp:lastModifiedBy>
  <cp:lastPrinted>2020-10-31T16:54:00Z</cp:lastPrinted>
  <dcterms:modified xsi:type="dcterms:W3CDTF">2021-06-09T11:11:11Z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3108029D5D1A43FAA40A3444D37EC6AA</vt:lpwstr>
  </property>
</Properties>
</file>