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5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5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5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5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岗位代码05岗笔试（专业考核）及面试考试大纲</w:t>
      </w:r>
    </w:p>
    <w:p>
      <w:pPr>
        <w:jc w:val="center"/>
        <w:rPr>
          <w:b/>
          <w:sz w:val="28"/>
          <w:szCs w:val="28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一、笔试（专业考核）部分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（一）考核目标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考查应聘人员的专业基础知识、专业素养、专业英语能力；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考查应聘人员的职业认知和规划。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新闻传播学；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文化创意与项目策划；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广告策划与公共关系；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多媒体运</w:t>
      </w:r>
      <w:bookmarkStart w:id="0" w:name="_GoBack"/>
      <w:bookmarkEnd w:id="0"/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营管理；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专业英语。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（三）考核形式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1.考试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方式：闭卷，笔试；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考试时间：120分钟；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3.考试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总分：100分。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二、面试部分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（一）考核目标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考查应聘人员的教学素养和专业知识应用；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考查应聘人员的课堂教学能力。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新闻传播学；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创意思维；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文创项目策划。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（三）考核形式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课堂教学（片段教学）测试；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2.考试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时间：15分钟；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3.考试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总分：100分。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4A"/>
    <w:rsid w:val="001C23A1"/>
    <w:rsid w:val="008E6BF3"/>
    <w:rsid w:val="00FC644A"/>
    <w:rsid w:val="161C7323"/>
    <w:rsid w:val="2C7359A9"/>
    <w:rsid w:val="2E547735"/>
    <w:rsid w:val="73F4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qFormat/>
    <w:uiPriority w:val="0"/>
    <w:rPr>
      <w:b/>
      <w:bCs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C6235D-5B23-43F8-903F-21AE6DACF1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2021-04-27T07:03:00Z</dcterms:created>
  <dc:creator>apple</dc:creator>
  <cp:lastModifiedBy>杨瑞兰</cp:lastModifiedBy>
  <dcterms:modified xsi:type="dcterms:W3CDTF">2021-05-21T03:59:40Z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D0E9182F845E4DC9A0588A61C8DC1644</vt:lpwstr>
  </property>
  <property fmtid="{D5CDD505-2E9C-101B-9397-08002B2CF9AE}" pid="3" name="KSOProductBuildVer">
    <vt:lpwstr>2052-11.1.0.10495</vt:lpwstr>
  </property>
</Properties>
</file>