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79" w:lineRule="exact"/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附件</w:t>
      </w:r>
      <w:r>
        <w:rPr>
          <w:rFonts w:ascii="方正黑体_GBK" w:hAnsi="方正黑体_GBK"/>
          <w:sz w:val="32"/>
          <w:szCs w:val="32"/>
        </w:rPr>
        <w:t xml:space="preserve">3 </w:t>
      </w:r>
    </w:p>
    <w:p>
      <w:pPr>
        <w:pStyle w:val=""/>
        <w:jc w:val="center"/>
        <w:spacing w:line="579" w:lineRule="exact"/>
        <w:rPr>
          <w:rFonts w:ascii="方正小标宋_GBK" w:hAnsi="方正小标宋_GBK"/>
          <w:sz w:val="44"/>
          <w:szCs w:val="44"/>
        </w:rPr>
      </w:pPr>
      <w:r>
        <w:rPr>
          <w:rFonts w:ascii="方正小标宋_GBK" w:hAnsi="方正小标宋_GBK"/>
          <w:sz w:val="44"/>
          <w:szCs w:val="44"/>
        </w:rPr>
        <w:t>昆明市</w:t>
      </w:r>
      <w:r>
        <w:rPr>
          <w:rFonts w:ascii="方正小标宋_GBK" w:hAnsi="方正小标宋_GBK"/>
          <w:sz w:val="44"/>
          <w:szCs w:val="44"/>
        </w:rPr>
        <w:t>官渡区</w:t>
      </w:r>
      <w:r>
        <w:rPr>
          <w:rFonts w:ascii="方正小标宋_GBK" w:hAnsi="方正小标宋_GBK"/>
          <w:sz w:val="44"/>
          <w:szCs w:val="44"/>
        </w:rPr>
        <w:t>政府专职消防队员招</w:t>
      </w:r>
      <w:r>
        <w:rPr>
          <w:rFonts w:ascii="方正小标宋_GBK" w:hAnsi="方正小标宋_GBK"/>
          <w:sz w:val="44"/>
          <w:szCs w:val="44"/>
        </w:rPr>
        <w:t>聘</w:t>
      </w:r>
    </w:p>
    <w:p>
      <w:pPr>
        <w:pStyle w:val=""/>
        <w:jc w:val="center"/>
        <w:spacing w:line="579" w:lineRule="exact"/>
      </w:pPr>
      <w:r>
        <w:rPr>
          <w:rFonts w:ascii="方正小标宋_GBK" w:hAnsi="方正小标宋_GBK"/>
          <w:sz w:val="44"/>
          <w:szCs w:val="44"/>
        </w:rPr>
        <w:t>体能测试、岗位适应性测试项目及标准</w:t>
      </w:r>
    </w:p>
    <w:p>
      <w:pPr>
        <w:pStyle w:val=""/>
        <w:rPr>
          <w:szCs w:val="21"/>
        </w:rPr>
      </w:pP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0" w:type="auto"/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>
        <w:trPr>
          <w:trHeight w:val="493" w:hRule="atLeast"/>
        </w:trPr>
        <w:tc>
          <w:tcPr>
            <w:gridSpan w:val="12"/>
            <w:tcBorders>
              <w:top w:val="single" w:sz="12" w:color="000000" w:space="0"/>
              <w:right w:val="single" w:sz="12" w:color="000000" w:space="0"/>
            </w:tcBorders>
            <w:vAlign w:val="center"/>
            <w:tcW w:w="897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方正黑体_GBK" w:hAnsi="方正黑体_GBK"/>
                <w:szCs w:val="21"/>
              </w:rPr>
              <w:t>一、体能测试项目及标准</w:t>
            </w:r>
          </w:p>
        </w:tc>
      </w:tr>
      <w:tr>
        <w:trPr>
          <w:trHeight w:val="478" w:hRule="atLeast"/>
        </w:trPr>
        <w:tc>
          <w:tcPr>
            <w:gridSpan w:val="2"/>
            <w:vAlign w:val="center"/>
            <w:vMerge w:val="restart"/>
            <w:tcW w:w="1734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项目</w:t>
            </w:r>
          </w:p>
        </w:tc>
        <w:tc>
          <w:tcPr>
            <w:gridSpan w:val="10"/>
            <w:tcBorders>
              <w:right w:val="single" w:sz="12" w:color="000000" w:space="0"/>
            </w:tcBorders>
            <w:vAlign w:val="center"/>
            <w:tcW w:w="7242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测试成绩对应分值、测试办法</w:t>
            </w:r>
          </w:p>
        </w:tc>
      </w:tr>
      <w:tr>
        <w:trPr>
          <w:trHeight w:val="510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72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1分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2分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3分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4分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5分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6分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7分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8分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9分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10分</w:t>
            </w:r>
          </w:p>
        </w:tc>
      </w:tr>
      <w:tr>
        <w:trPr>
          <w:trHeight w:val="403" w:hRule="atLeast"/>
        </w:trPr>
        <w:tc>
          <w:tcPr>
            <w:vAlign w:val="center"/>
            <w:vMerge w:val="restart"/>
            <w:tcW w:w="452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男</w:t>
            </w:r>
          </w:p>
          <w:p>
            <w:pPr>
              <w:pStyle w:val=""/>
              <w:jc w:val="center"/>
              <w:rPr>
                <w:rFonts w:ascii="方正黑体_GBK" w:hAnsi="方正黑体_GBK"/>
                <w:szCs w:val="21"/>
              </w:rPr>
            </w:pPr>
          </w:p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性</w:t>
            </w:r>
          </w:p>
        </w:tc>
        <w:tc>
          <w:tcPr>
            <w:vAlign w:val="center"/>
            <w:vMerge w:val="restart"/>
            <w:tcW w:w="1282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俯卧撑（次</w:t>
            </w:r>
            <w:r>
              <w:rPr>
                <w:sz w:val="24"/>
              </w:rPr>
              <w:t>/2</w:t>
            </w:r>
            <w:r>
              <w:rPr>
                <w:sz w:val="24"/>
              </w:rPr>
              <w:t>分钟）</w:t>
            </w:r>
          </w:p>
        </w:tc>
        <w:tc>
          <w:tcPr>
            <w:vAlign w:val="center"/>
            <w:tcW w:w="723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szCs w:val="21"/>
              </w:rPr>
              <w:t>6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szCs w:val="21"/>
              </w:rPr>
              <w:t>8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szCs w:val="21"/>
              </w:rPr>
              <w:t>10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szCs w:val="21"/>
              </w:rPr>
              <w:t>12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szCs w:val="21"/>
              </w:rPr>
              <w:t>14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szCs w:val="21"/>
              </w:rPr>
              <w:t>16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szCs w:val="21"/>
              </w:rPr>
              <w:t>20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szCs w:val="21"/>
              </w:rPr>
              <w:t>25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szCs w:val="21"/>
              </w:rPr>
              <w:t>30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szCs w:val="21"/>
              </w:rPr>
              <w:t>35</w:t>
            </w:r>
          </w:p>
        </w:tc>
      </w:tr>
      <w:tr>
        <w:trPr>
          <w:trHeight w:val="1559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tcBorders>
              <w:right w:val="single" w:sz="12" w:color="000000" w:space="0"/>
            </w:tcBorders>
            <w:vAlign w:val="center"/>
            <w:tcW w:w="7242" w:type="dxa"/>
          </w:tcPr>
          <w:p>
            <w:pPr>
              <w:pStyle w:val=""/>
              <w:jc w:val="left"/>
              <w:ind w:firstLine="48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单个或分组考核。</w:t>
            </w:r>
          </w:p>
          <w:p>
            <w:pPr>
              <w:pStyle w:val=""/>
              <w:jc w:val="left"/>
              <w:ind w:firstLine="48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按照规定动作要领完成动作。屈臂时肩关节高于肘关节、伸臂时双肘关节未伸直、做动作时身体未保持平直，该动作不计数；除手脚外身体其他部位触及地面，考核结束。</w:t>
            </w:r>
          </w:p>
          <w:p>
            <w:pPr>
              <w:pStyle w:val=""/>
              <w:jc w:val="left"/>
              <w:ind w:firstLine="480"/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得分超出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分的，每递增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次增加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分，最高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分。</w:t>
            </w:r>
          </w:p>
        </w:tc>
      </w:tr>
      <w:tr>
        <w:trPr>
          <w:trHeight w:val="478" w:hRule="atLeast"/>
        </w:trPr>
        <w:tc>
          <w:tcPr>
            <w:vMerge/>
          </w:tcPr>
          <w:p/>
        </w:tc>
        <w:tc>
          <w:tcPr>
            <w:vAlign w:val="center"/>
            <w:vMerge w:val="restart"/>
            <w:tcW w:w="1282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10米×4往返跑（秒）</w:t>
            </w:r>
          </w:p>
        </w:tc>
        <w:tc>
          <w:tcPr>
            <w:vAlign w:val="center"/>
            <w:tcW w:w="723" w:type="dxa"/>
          </w:tcPr>
          <w:p>
            <w:pPr>
              <w:pStyle w:val=""/>
              <w:jc w:val="center"/>
              <w:ind w:left="-153"/>
              <w:ind w:right="-204"/>
            </w:pPr>
            <w:r>
              <w:rPr>
                <w:szCs w:val="21"/>
              </w:rPr>
              <w:t>14″0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13″7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13″5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13″3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12″9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12″7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12″5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12″3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11″9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10″3</w:t>
            </w:r>
          </w:p>
        </w:tc>
      </w:tr>
      <w:tr>
        <w:trPr>
          <w:trHeight w:val="2020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tcBorders>
              <w:right w:val="single" w:sz="12" w:color="000000" w:space="0"/>
            </w:tcBorders>
            <w:vAlign w:val="center"/>
            <w:tcW w:w="7242" w:type="dxa"/>
          </w:tcPr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1.单个或分组考核。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3.考核以完成时间计算成绩。</w:t>
            </w:r>
          </w:p>
          <w:p>
            <w:pPr>
              <w:pStyle w:val=""/>
              <w:ind w:firstLine="420"/>
            </w:pPr>
            <w:r>
              <w:rPr>
                <w:szCs w:val="21"/>
              </w:rPr>
              <w:t>4.得分超出10分的，每递减0.1秒增加1分，最高15分。</w:t>
            </w:r>
          </w:p>
          <w:p>
            <w:pPr>
              <w:pStyle w:val=""/>
              <w:ind w:firstLine="420"/>
            </w:pPr>
            <w:r>
              <w:rPr>
                <w:szCs w:val="21"/>
              </w:rPr>
              <w:t>5.高原地区按照上述内地标准增加1秒。</w:t>
            </w:r>
          </w:p>
        </w:tc>
      </w:tr>
      <w:tr>
        <w:trPr>
          <w:trHeight w:val="463" w:hRule="atLeast"/>
        </w:trPr>
        <w:tc>
          <w:tcPr>
            <w:vMerge/>
          </w:tcPr>
          <w:p/>
        </w:tc>
        <w:tc>
          <w:tcPr>
            <w:vAlign w:val="center"/>
            <w:vMerge w:val="restart"/>
            <w:tcW w:w="1282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1000米跑（分、秒）</w:t>
            </w:r>
          </w:p>
        </w:tc>
        <w:tc>
          <w:tcPr>
            <w:vAlign w:val="center"/>
            <w:tcW w:w="72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4′25″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Cs w:val="21"/>
              </w:rPr>
              <w:t>4′20″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Cs w:val="21"/>
              </w:rPr>
              <w:t>4′15″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4′10″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Cs w:val="21"/>
              </w:rPr>
              <w:t>4′05″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4′00″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3′55″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3′50″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3′45″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3′40″</w:t>
            </w:r>
          </w:p>
        </w:tc>
      </w:tr>
      <w:tr>
        <w:trPr>
          <w:trHeight w:val="2020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tcBorders>
              <w:right w:val="single" w:sz="12" w:color="000000" w:space="0"/>
            </w:tcBorders>
            <w:vAlign w:val="center"/>
            <w:tcW w:w="7242" w:type="dxa"/>
          </w:tcPr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1.分组考核。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3.考核以完成时间计算成绩。</w:t>
            </w:r>
          </w:p>
          <w:p>
            <w:pPr>
              <w:pStyle w:val=""/>
              <w:ind w:firstLine="420"/>
            </w:pPr>
            <w:r>
              <w:rPr>
                <w:szCs w:val="21"/>
              </w:rPr>
              <w:t>4.得分超出10分的，每递减5秒增加1分，最高15分。</w:t>
            </w:r>
          </w:p>
          <w:p>
            <w:pPr>
              <w:pStyle w:val=""/>
              <w:ind w:firstLine="420"/>
            </w:pPr>
            <w:r>
              <w:rPr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rPr>
          <w:trHeight w:val="478" w:hRule="atLeast"/>
        </w:trPr>
        <w:tc>
          <w:tcPr>
            <w:vMerge/>
          </w:tcPr>
          <w:p/>
        </w:tc>
        <w:tc>
          <w:tcPr>
            <w:vAlign w:val="center"/>
            <w:vMerge w:val="restart"/>
            <w:tcW w:w="1282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原地跳高（厘米）</w:t>
            </w:r>
          </w:p>
        </w:tc>
        <w:tc>
          <w:tcPr>
            <w:vAlign w:val="center"/>
            <w:tcW w:w="72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45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47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50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53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55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57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60</w:t>
            </w:r>
          </w:p>
        </w:tc>
        <w:tc>
          <w:tcPr>
            <w:vAlign w:val="center"/>
            <w:tcW w:w="72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63</w:t>
            </w:r>
          </w:p>
        </w:tc>
        <w:tc>
          <w:tcPr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65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72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67</w:t>
            </w:r>
          </w:p>
        </w:tc>
      </w:tr>
      <w:tr>
        <w:trPr>
          <w:trHeight w:val="1730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tcBorders>
              <w:right w:val="single" w:sz="12" w:color="000000" w:space="0"/>
            </w:tcBorders>
            <w:vAlign w:val="center"/>
            <w:tcW w:w="7242" w:type="dxa"/>
          </w:tcPr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1.单个或分组考核。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3.考核以完成跳起高度计算成绩。</w:t>
            </w:r>
          </w:p>
          <w:p>
            <w:pPr>
              <w:pStyle w:val=""/>
              <w:ind w:firstLine="420"/>
            </w:pPr>
            <w:r>
              <w:rPr>
                <w:szCs w:val="21"/>
              </w:rPr>
              <w:t>4.得分超出10分的，每递增3厘米增加1分，最高15分。</w:t>
            </w:r>
          </w:p>
        </w:tc>
      </w:tr>
      <w:tr>
        <w:trPr>
          <w:trHeight w:val="1083" w:hRule="atLeast"/>
        </w:trPr>
        <w:tc>
          <w:tcPr>
            <w:tcBorders>
              <w:bottom w:val="single" w:sz="12" w:color="000000" w:space="0"/>
            </w:tcBorders>
            <w:vAlign w:val="center"/>
            <w:tcW w:w="452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备</w:t>
            </w:r>
          </w:p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注</w:t>
            </w:r>
          </w:p>
        </w:tc>
        <w:tc>
          <w:tcPr>
            <w:gridSpan w:val="11"/>
            <w:tcBorders>
              <w:bottom w:val="single" w:sz="12" w:color="000000" w:space="0"/>
              <w:right w:val="single" w:sz="12" w:color="000000" w:space="0"/>
            </w:tcBorders>
            <w:vAlign w:val="center"/>
            <w:tcW w:w="8524" w:type="dxa"/>
          </w:tcPr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1.总成绩最高40分，任一项达不到最低分值的视为“不合格”。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.测试项目及标准中“以上”“以下”均含本级、本数。</w:t>
            </w:r>
          </w:p>
        </w:tc>
      </w:tr>
    </w:tbl>
    <w:p>
      <w:pPr>
        <w:pStyle w:val=""/>
        <w:spacing w:line="20" w:lineRule="atLeast"/>
        <w:rPr>
          <w:sz w:val="10"/>
          <w:szCs w:val="10"/>
        </w:rPr>
      </w:pP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0" w:type="auto"/>
      </w:tblPr>
      <w:tblGrid>
        <w:gridCol w:w="640"/>
        <w:gridCol w:w="1559"/>
        <w:gridCol w:w="4059"/>
        <w:gridCol w:w="679"/>
        <w:gridCol w:w="679"/>
        <w:gridCol w:w="679"/>
        <w:gridCol w:w="680"/>
      </w:tblGrid>
      <w:tr>
        <w:trPr>
          <w:trHeight w:val="351" w:hRule="atLeast"/>
        </w:trPr>
        <w:tc>
          <w:tcPr>
            <w:gridSpan w:val="7"/>
            <w:vAlign w:val="center"/>
            <w:tcW w:w="8975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方正黑体_GBK" w:hAnsi="方正黑体_GBK"/>
                <w:szCs w:val="21"/>
              </w:rPr>
              <w:t>二、岗位适应性测试项目和标准</w:t>
            </w:r>
          </w:p>
        </w:tc>
      </w:tr>
      <w:tr>
        <w:trPr>
          <w:trHeight w:val="701" w:hRule="atLeast"/>
        </w:trPr>
        <w:tc>
          <w:tcPr>
            <w:gridSpan w:val="2"/>
            <w:vAlign w:val="center"/>
            <w:tcW w:w="2199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项  目</w:t>
            </w:r>
          </w:p>
        </w:tc>
        <w:tc>
          <w:tcPr>
            <w:vAlign w:val="center"/>
            <w:tcW w:w="405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测试办法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优秀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良好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中等</w:t>
            </w:r>
          </w:p>
        </w:tc>
        <w:tc>
          <w:tcPr>
            <w:vAlign w:val="center"/>
            <w:tcW w:w="68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一般</w:t>
            </w:r>
          </w:p>
        </w:tc>
      </w:tr>
      <w:tr>
        <w:trPr>
          <w:trHeight w:val="1592" w:hRule="atLeast"/>
        </w:trPr>
        <w:tc>
          <w:tcPr>
            <w:vAlign w:val="center"/>
            <w:vMerge w:val="restart"/>
            <w:tcW w:w="640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男</w:t>
            </w:r>
          </w:p>
          <w:p>
            <w:pPr>
              <w:pStyle w:val=""/>
              <w:jc w:val="center"/>
              <w:rPr>
                <w:rFonts w:ascii="方正黑体_GBK" w:hAnsi="方正黑体_GBK"/>
                <w:szCs w:val="21"/>
              </w:rPr>
            </w:pPr>
          </w:p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性</w:t>
            </w:r>
          </w:p>
        </w:tc>
        <w:tc>
          <w:tcPr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负重登六楼</w:t>
            </w:r>
          </w:p>
        </w:tc>
        <w:tc>
          <w:tcPr>
            <w:vAlign w:val="center"/>
            <w:tcW w:w="4059" w:type="dxa"/>
          </w:tcPr>
          <w:p>
            <w:pPr>
              <w:pStyle w:val=""/>
            </w:pPr>
            <w:r>
              <w:rPr>
                <w:szCs w:val="21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1′15″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1′30″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1′40″</w:t>
            </w:r>
          </w:p>
        </w:tc>
        <w:tc>
          <w:tcPr>
            <w:vAlign w:val="center"/>
            <w:tcW w:w="68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1′50″</w:t>
            </w:r>
          </w:p>
        </w:tc>
      </w:tr>
      <w:tr>
        <w:trPr>
          <w:trHeight w:val="1592" w:hRule="atLeast"/>
        </w:trPr>
        <w:tc>
          <w:tcPr>
            <w:vMerge/>
          </w:tcPr>
          <w:p/>
        </w:tc>
        <w:tc>
          <w:tcPr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原地攀登六米拉梯</w:t>
            </w:r>
          </w:p>
        </w:tc>
        <w:tc>
          <w:tcPr>
            <w:vAlign w:val="center"/>
            <w:tcW w:w="4059" w:type="dxa"/>
          </w:tcPr>
          <w:p>
            <w:pPr>
              <w:pStyle w:val=""/>
            </w:pPr>
            <w:r>
              <w:rPr>
                <w:szCs w:val="21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10″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15″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20″</w:t>
            </w:r>
          </w:p>
        </w:tc>
        <w:tc>
          <w:tcPr>
            <w:vAlign w:val="center"/>
            <w:tcW w:w="68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25″</w:t>
            </w:r>
          </w:p>
        </w:tc>
      </w:tr>
      <w:tr>
        <w:trPr>
          <w:trHeight w:val="1683" w:hRule="atLeast"/>
        </w:trPr>
        <w:tc>
          <w:tcPr>
            <w:vMerge/>
          </w:tcPr>
          <w:p/>
        </w:tc>
        <w:tc>
          <w:tcPr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拖拽</w:t>
            </w:r>
          </w:p>
        </w:tc>
        <w:tc>
          <w:tcPr>
            <w:vAlign w:val="center"/>
            <w:tcW w:w="4059" w:type="dxa"/>
          </w:tcPr>
          <w:p>
            <w:pPr>
              <w:pStyle w:val=""/>
            </w:pPr>
            <w:r>
              <w:rPr>
                <w:szCs w:val="21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12″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13″</w:t>
            </w:r>
          </w:p>
        </w:tc>
        <w:tc>
          <w:tcPr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14″</w:t>
            </w:r>
          </w:p>
        </w:tc>
        <w:tc>
          <w:tcPr>
            <w:vAlign w:val="center"/>
            <w:tcW w:w="68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15″</w:t>
            </w:r>
          </w:p>
        </w:tc>
      </w:tr>
      <w:tr>
        <w:trPr>
          <w:trHeight w:val="1240" w:hRule="atLeast"/>
        </w:trPr>
        <w:tc>
          <w:tcPr>
            <w:vAlign w:val="center"/>
            <w:tcW w:w="640" w:type="dxa"/>
          </w:tcPr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备</w:t>
            </w:r>
          </w:p>
          <w:p>
            <w:pPr>
              <w:pStyle w:val=""/>
              <w:jc w:val="center"/>
            </w:pPr>
            <w:r>
              <w:rPr>
                <w:rFonts w:ascii="方正黑体_GBK" w:hAnsi="方正黑体_GBK"/>
                <w:szCs w:val="21"/>
              </w:rPr>
              <w:t>注</w:t>
            </w:r>
          </w:p>
        </w:tc>
        <w:tc>
          <w:tcPr>
            <w:gridSpan w:val="6"/>
            <w:vAlign w:val="center"/>
            <w:tcW w:w="8335" w:type="dxa"/>
          </w:tcPr>
          <w:p>
            <w:pPr>
              <w:pStyle w:val=""/>
              <w:jc w:val="left"/>
              <w:ind w:firstLine="420"/>
            </w:pPr>
            <w:r>
              <w:rPr>
                <w:szCs w:val="21"/>
              </w:rPr>
              <w:t>1.任一项达不到“一般”标准的视为“不合格”。</w:t>
            </w:r>
          </w:p>
          <w:p>
            <w:pPr>
              <w:pStyle w:val=""/>
              <w:jc w:val="left"/>
              <w:ind w:firstLine="420"/>
            </w:pPr>
            <w:r>
              <w:rPr>
                <w:szCs w:val="21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pStyle w:val="Default"/>
        <w:rPr>
          <w:rFonts w:ascii="Verdana" w:hAnsi="Verdana"/>
          <w:szCs w:val="20"/>
        </w:rPr>
      </w:pPr>
    </w:p>
    <w:p>
      <w:pPr>
        <w:pStyle w:val="Default"/>
        <w:rPr>
          <w:rFonts w:ascii="Verdana" w:hAnsi="Verdana"/>
          <w:szCs w:val="20"/>
        </w:rPr>
      </w:pPr>
    </w:p>
    <w:p>
      <w:pPr>
        <w:pStyle w:val=""/>
        <w:spacing w:line="600" w:lineRule="exact"/>
        <w:sectPr>
          <w:footerReference r:id="rId10" w:type="default"/>
          <w:pgNumType w:fmt="arabicAlpha"/>
          <w:pgSz w:w="11906" w:h="16838"/>
          <w:pgMar w:left="1417" w:right="1417" w:top="1417" w:bottom="1417"/>
        </w:sectPr>
      </w:pPr>
    </w:p>
    <w:p>
      <w:pPr>
        <w:pStyle w:val=""/>
        <w:jc w:val="left"/>
        <w:spacing w:line="579" w:lineRule="exact"/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附件</w:t>
      </w:r>
      <w:r>
        <w:rPr>
          <w:rFonts w:ascii="方正黑体_GBK" w:hAnsi="方正黑体_GBK"/>
          <w:sz w:val="32"/>
          <w:szCs w:val="32"/>
        </w:rPr>
        <w:t>3</w:t>
      </w:r>
    </w:p>
    <w:p>
      <w:pPr>
        <w:pStyle w:val=""/>
        <w:jc w:val="center"/>
        <w:spacing w:line="579" w:lineRule="exact"/>
        <w:rPr>
          <w:rFonts w:ascii="方正小标宋_GBK" w:hAnsi="方正小标宋_GBK"/>
          <w:sz w:val="44"/>
          <w:szCs w:val="44"/>
        </w:rPr>
      </w:pPr>
      <w:r>
        <w:rPr>
          <w:rFonts w:ascii="方正小标宋_GBK" w:hAnsi="方正小标宋_GBK"/>
          <w:sz w:val="44"/>
          <w:szCs w:val="44"/>
        </w:rPr>
        <w:t>昆明市</w:t>
      </w:r>
      <w:r>
        <w:rPr>
          <w:rFonts w:ascii="方正小标宋_GBK" w:hAnsi="方正小标宋_GBK"/>
          <w:sz w:val="44"/>
          <w:szCs w:val="44"/>
        </w:rPr>
        <w:t>官渡区</w:t>
      </w:r>
      <w:r>
        <w:rPr>
          <w:rFonts w:ascii="方正小标宋_GBK" w:hAnsi="方正小标宋_GBK"/>
          <w:sz w:val="44"/>
          <w:szCs w:val="44"/>
        </w:rPr>
        <w:t>政府专职消防队员招录</w:t>
      </w:r>
    </w:p>
    <w:p>
      <w:pPr>
        <w:pStyle w:val=""/>
        <w:jc w:val="center"/>
        <w:spacing w:line="579" w:lineRule="exact"/>
      </w:pPr>
      <w:r>
        <w:rPr>
          <w:rFonts w:ascii="方正小标宋_GBK" w:hAnsi="方正小标宋_GBK"/>
          <w:sz w:val="44"/>
          <w:szCs w:val="44"/>
        </w:rPr>
        <w:t>体能测试、岗位适应性测试评判规则</w:t>
      </w:r>
    </w:p>
    <w:p>
      <w:pPr>
        <w:pStyle w:val=""/>
        <w:jc w:val="center"/>
        <w:spacing w:line="360" w:lineRule="auto"/>
        <w:rPr>
          <w:sz w:val="44"/>
          <w:szCs w:val="44"/>
        </w:rPr>
      </w:pPr>
    </w:p>
    <w:p>
      <w:pPr>
        <w:pStyle w:val=""/>
        <w:jc w:val="center"/>
        <w:spacing w:line="560" w:lineRule="exact"/>
      </w:pPr>
      <w:r>
        <w:rPr>
          <w:rFonts w:ascii="方正黑体_GBK" w:hAnsi="方正黑体_GBK"/>
          <w:sz w:val="44"/>
          <w:szCs w:val="44"/>
        </w:rPr>
        <w:t>体能测试</w:t>
      </w:r>
    </w:p>
    <w:p>
      <w:pPr>
        <w:pStyle w:val=""/>
        <w:jc w:val="center"/>
        <w:spacing w:line="560" w:lineRule="exact"/>
        <w:rPr>
          <w:sz w:val="44"/>
          <w:szCs w:val="44"/>
        </w:rPr>
      </w:pP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一、俯卧撑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（一）场地设置</w:t>
      </w:r>
    </w:p>
    <w:p>
      <w:pPr>
        <w:pStyle w:val="Default"/>
        <w:ind w:firstLine="640"/>
        <w:spacing w:line="595" w:lineRule="exact"/>
      </w:pPr>
      <w:r>
        <w:rPr>
          <w:color w:val="000000"/>
          <w:rFonts w:ascii="Times New Roman" w:hAnsi="Times New Roman"/>
          <w:sz w:val="32"/>
          <w:szCs w:val="32"/>
        </w:rPr>
        <w:t>在平地上设置考核区域，地面平整，无杂物、坡度。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（二）操作程序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、参考人员在考核区域准备；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、听到“预备”口令，参考人员俯身，双手放在胸前位置，手掌接触地面，间距略比肩宽，双脚并拢支撑起下半身，保持肩部与脚踝成一条直线；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、听到“开始”口令，参考人员双手肘部弯曲，保持身体在一条直线上，将身体降低贴近地面，然后双手发力快速推起使身体恢复原状。动作完成后，起立完成考核。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（三）操作要求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、单个或分组考核；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、屈臂时肩关节要低于肘关节、伸臂时双肘关节必须伸直、做动作时身体要保持平直；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、除手脚外身体其他部位触及地面，考核结束。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、考核以按要求完成的次数计算成绩。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（四）评判细则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、计时</w:t>
      </w:r>
      <w:r>
        <w:rPr>
          <w:sz w:val="32"/>
          <w:szCs w:val="32"/>
        </w:rPr>
        <w:t>2</w:t>
      </w:r>
      <w:r>
        <w:rPr>
          <w:sz w:val="32"/>
          <w:szCs w:val="32"/>
        </w:rPr>
        <w:t>分钟，以标准完成个数记取成绩；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、屈臂时肩关节高于肘关节的不计入次数；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、伸臂时双肘关节未伸直的不计入次数；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、做动作时身体未保持平直的不计入次数；</w:t>
      </w:r>
    </w:p>
    <w:p>
      <w:pPr>
        <w:pStyle w:val=""/>
        <w:ind w:firstLine="640"/>
        <w:spacing w:line="595" w:lineRule="exact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、每名参考人员均只测试</w:t>
      </w:r>
      <w:r>
        <w:rPr>
          <w:sz w:val="32"/>
          <w:szCs w:val="32"/>
        </w:rPr>
        <w:t>1</w:t>
      </w:r>
      <w:r>
        <w:rPr>
          <w:sz w:val="32"/>
          <w:szCs w:val="32"/>
        </w:rPr>
        <w:t>次。</w:t>
      </w:r>
    </w:p>
    <w:p>
      <w:pPr>
        <w:pStyle w:val=""/>
        <w:ind w:firstLine="627"/>
        <w:spacing w:before="156" w:after="156" w:line="579" w:lineRule="exact"/>
      </w:pPr>
      <w:r>
        <w:rPr>
          <w:rFonts w:ascii="方正黑体_GBK" w:hAnsi="方正黑体_GBK"/>
          <w:sz w:val="32"/>
          <w:szCs w:val="32"/>
        </w:rPr>
        <w:t>二、10米×4往返跑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（一）场地设置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在跑道上设置出长10米的场地，标出起点线S1和终点线S2（如图所示）。</w:t>
      </w:r>
    </w:p>
    <w:p>
      <w:pPr>
        <w:pStyle w:val=""/>
        <w:ind w:firstLine="640"/>
        <w:spacing w:line="579" w:lineRule="exact"/>
        <w:rPr>
          <w:rFonts w:ascii="仿宋_GB2312" w:hAnsi="仿宋_GB2312"/>
          <w:sz w:val="32"/>
          <w:szCs w:val="32"/>
        </w:rPr>
      </w:pPr>
    </w:p>
    <w:p>
      <w:pPr>
        <w:pStyle w:val=""/>
        <w:ind w:firstLine="640"/>
        <w:spacing w:line="579" w:lineRule="exact"/>
      </w:pP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4.883333in;margin-top:0.407639in;z-index:1;mso-position-horizontal:absolute;mso-position-horizontal-relative:column;mso-position-vertical:absolute;mso-position-vertical-relative:paragraph;height:0.304167in;width:1.145139in" fillcolor="">
            <v:textbox>
              <w:txbxContent>
                <w:p>
                  <w:pPr>
                    <w:pStyle w:val=""/>
                    <w:jc w:val="center"/>
                  </w:pPr>
                  <w:r>
                    <w:rPr>
                      <w:b/>
                      <w:rFonts w:ascii="宋体" w:hAnsi="宋体"/>
                    </w:rPr>
                    <w:t>终点线S2</w:t>
                  </w:r>
                </w:p>
                <w:p>
                  <w:pPr>
                    <w:pStyle w:val=""/>
                    <w:jc w:val="center"/>
                    <w:rPr>
                      <w:b/>
                    </w:rPr>
                  </w:pPr>
                  <w:r>
                    <w:rPr>
                      <w:b/>
                      <w:rFonts w:ascii="宋体" w:hAnsi="宋体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仿宋_GB2312" w:hAnsi="仿宋_GB2312"/>
          <w:sz w:val="32"/>
          <w:szCs w:val="32"/>
        </w:rPr>
        <w:t xml:space="preserve">        0m                                  10m</w:t>
      </w:r>
    </w:p>
    <w:p>
      <w:pPr>
        <w:pStyle w:val=""/>
        <w:ind w:firstLine="640"/>
        <w:spacing w:line="579" w:lineRule="exact"/>
        <w:rPr>
          <w:rFonts w:ascii="仿宋_GB2312" w:hAnsi="仿宋_GB2312"/>
          <w:sz w:val="32"/>
          <w:szCs w:val="32"/>
        </w:rPr>
      </w:pP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0.989583in;margin-top:0.005556in;z-index:1;mso-position-horizontal:absolute;mso-position-horizontal-relative:column;mso-position-vertical:absolute;mso-position-vertical-relative:paragraph;height:0.325000in;width:0.968056in" fillcolor="">
            <v:textbox>
              <w:txbxContent>
                <w:p>
                  <w:pPr>
                    <w:pStyle w:val=""/>
                    <w:jc w:val="center"/>
                    <w:rPr>
                      <w:b/>
                    </w:rPr>
                  </w:pPr>
                  <w:r>
                    <w:rPr>
                      <w:b/>
                      <w:rFonts w:ascii="宋体" w:hAnsi="宋体"/>
                    </w:rPr>
                    <w:t xml:space="preserve">起点线S1  </w:t>
                  </w:r>
                </w:p>
              </w:txbxContent>
            </v:textbox>
          </v:shape>
        </w:pict>
      </w: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2.333333in;margin-top:0.298611in;z-index:1;mso-position-horizontal:absolute;mso-position-horizontal-relative:column;mso-position-vertical:absolute;mso-position-vertical-relative:paragraph;height:0.376389in;width:1.913194in" fillcolor="">
            <v:textbox>
              <w:txbxContent>
                <w:p>
                  <w:pPr>
                    <w:pStyle w:val=""/>
                    <w:jc w:val="center"/>
                    <w:rPr>
                      <w:b/>
                    </w:rPr>
                  </w:pPr>
                  <w:r>
                    <w:rPr>
                      <w:b/>
                      <w:rFonts w:ascii="宋体"/>
                    </w:rPr>
                    <w:t>10米×4往返跑示意图</w:t>
                  </w:r>
                </w:p>
              </w:txbxContent>
            </v:textbox>
          </v:shape>
        </w:pic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（二）操作程序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参考人员在起点线准备。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听到“预备”的口令，参考人员做好起跑准备。</w:t>
      </w:r>
    </w:p>
    <w:p>
      <w:pPr>
        <w:pStyle w:val=""/>
        <w:ind w:firstLine="640"/>
        <w:spacing w:line="540" w:lineRule="exact"/>
      </w:pPr>
      <w:r>
        <w:rPr>
          <w:rFonts w:ascii="仿宋_GB2312" w:hAnsi="仿宋_GB2312"/>
          <w:sz w:val="32"/>
          <w:szCs w:val="32"/>
        </w:rPr>
        <w:t>听到“开始”的口令，参考人员沿跑道向前跑，当达到终点线S2处时，一只手触S2线后随即往回跑，跑到S1线后一只手触S1线后再次往返至S2线并触地，最后冲出S1线后计时。</w:t>
      </w:r>
    </w:p>
    <w:p>
      <w:pPr>
        <w:pStyle w:val=""/>
        <w:ind w:firstLine="643"/>
        <w:spacing w:line="540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（三）操作要求</w:t>
      </w:r>
    </w:p>
    <w:p>
      <w:pPr>
        <w:pStyle w:val=""/>
        <w:ind w:firstLine="640"/>
        <w:spacing w:line="540" w:lineRule="exact"/>
      </w:pPr>
      <w:r>
        <w:rPr>
          <w:rFonts w:ascii="仿宋_GB2312" w:hAnsi="仿宋_GB2312"/>
          <w:sz w:val="32"/>
          <w:szCs w:val="32"/>
        </w:rPr>
        <w:t>1、参考人员听到发令信号后才能起跑，不得抢跑；</w:t>
      </w:r>
    </w:p>
    <w:p>
      <w:pPr>
        <w:pStyle w:val=""/>
        <w:ind w:firstLine="640"/>
        <w:spacing w:line="540" w:lineRule="exact"/>
      </w:pPr>
      <w:r>
        <w:rPr>
          <w:rFonts w:ascii="仿宋_GB2312" w:hAnsi="仿宋_GB2312"/>
          <w:sz w:val="32"/>
          <w:szCs w:val="32"/>
        </w:rPr>
        <w:t>2、每次折返必须单手触到标识线后才能折返；</w:t>
      </w:r>
    </w:p>
    <w:p>
      <w:pPr>
        <w:pStyle w:val=""/>
        <w:ind w:firstLine="640"/>
        <w:spacing w:line="540" w:lineRule="exact"/>
      </w:pPr>
      <w:r>
        <w:rPr>
          <w:rFonts w:ascii="仿宋_GB2312" w:hAnsi="仿宋_GB2312"/>
          <w:sz w:val="32"/>
          <w:szCs w:val="32"/>
        </w:rPr>
        <w:t>3、未触线的可以在触线后继续完成折返跑。</w:t>
      </w:r>
    </w:p>
    <w:p>
      <w:pPr>
        <w:pStyle w:val=""/>
        <w:ind w:firstLine="643"/>
        <w:spacing w:line="540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（四）评判细则</w:t>
      </w:r>
    </w:p>
    <w:p>
      <w:pPr>
        <w:pStyle w:val=""/>
        <w:ind w:firstLine="640"/>
        <w:spacing w:line="540" w:lineRule="exact"/>
      </w:pPr>
      <w:r>
        <w:rPr>
          <w:rFonts w:ascii="仿宋_GB2312" w:hAnsi="仿宋_GB2312"/>
          <w:sz w:val="32"/>
          <w:szCs w:val="32"/>
        </w:rPr>
        <w:t>1、出现抢跑的可以提醒1次，第2次抢跑的不计取成绩；</w:t>
      </w:r>
    </w:p>
    <w:p>
      <w:pPr>
        <w:pStyle w:val=""/>
        <w:ind w:firstLine="640"/>
        <w:spacing w:line="540" w:lineRule="exact"/>
      </w:pPr>
      <w:r>
        <w:rPr>
          <w:rFonts w:ascii="仿宋_GB2312" w:hAnsi="仿宋_GB2312"/>
          <w:sz w:val="32"/>
          <w:szCs w:val="32"/>
        </w:rPr>
        <w:t>2、往返跑过程中时未单手触标识线的不计取成绩。</w:t>
      </w:r>
    </w:p>
    <w:p>
      <w:pPr>
        <w:pStyle w:val=""/>
        <w:ind w:firstLine="640"/>
        <w:spacing w:line="540" w:lineRule="exact"/>
      </w:pPr>
      <w:r>
        <w:rPr>
          <w:rFonts w:ascii="仿宋_GB2312" w:hAnsi="仿宋_GB2312"/>
          <w:sz w:val="32"/>
          <w:szCs w:val="32"/>
        </w:rPr>
        <w:t>3、每名参考人员均只测试1次。</w:t>
      </w:r>
    </w:p>
    <w:p>
      <w:pPr>
        <w:pStyle w:val=""/>
        <w:ind w:firstLine="627"/>
        <w:spacing w:before="156" w:after="156" w:line="540" w:lineRule="exact"/>
      </w:pPr>
      <w:r>
        <w:rPr>
          <w:rFonts w:ascii="方正黑体_GBK" w:hAnsi="方正黑体_GBK"/>
          <w:sz w:val="32"/>
          <w:szCs w:val="32"/>
        </w:rPr>
        <w:t>三、1000m跑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（一）场地设置</w:t>
      </w:r>
    </w:p>
    <w:p>
      <w:pPr>
        <w:pStyle w:val=""/>
        <w:spacing w:line="579" w:lineRule="exact"/>
      </w:pPr>
      <w:r>
        <w:rPr>
          <w:rFonts w:ascii="仿宋_GB2312" w:hAnsi="仿宋_GB2312"/>
          <w:sz w:val="32"/>
          <w:szCs w:val="32"/>
        </w:rPr>
        <w:t xml:space="preserve">    设置400米的标准田径场地或其他场地。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（二）操作程序</w:t>
      </w:r>
    </w:p>
    <w:p>
      <w:pPr>
        <w:pStyle w:val=""/>
        <w:spacing w:line="579" w:lineRule="exact"/>
      </w:pPr>
      <w:r>
        <w:rPr>
          <w:rFonts w:ascii="仿宋_GB2312" w:hAnsi="仿宋_GB2312"/>
          <w:sz w:val="32"/>
          <w:szCs w:val="32"/>
        </w:rPr>
        <w:t xml:space="preserve">    听到发令信号后，参考人员向前跑进，完成2圈半的跑步距离后冲出终点线。</w:t>
      </w:r>
    </w:p>
    <w:p>
      <w:pPr>
        <w:pStyle w:val=""/>
        <w:jc w:val="center"/>
        <w:spacing w:line="720" w:lineRule="auto"/>
        <w:rPr>
          <w:b/>
          <w:rFonts w:ascii="仿宋_GB2312" w:hAnsi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3683000" cy="159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jc w:val="center"/>
        <w:spacing w:line="579" w:lineRule="exact"/>
        <w:rPr>
          <w:b/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1000</w:t>
      </w:r>
      <w:r>
        <w:rPr>
          <w:rStyle w:val="2Constantia27"/>
          <w:rFonts w:ascii="仿宋_GB2312" w:hAnsi="仿宋_GB2312"/>
          <w:sz w:val="32"/>
          <w:szCs w:val="32"/>
        </w:rPr>
        <w:t>m</w:t>
      </w:r>
      <w:r>
        <w:rPr>
          <w:rFonts w:ascii="仿宋_GB2312" w:hAnsi="仿宋_GB2312"/>
          <w:sz w:val="32"/>
          <w:szCs w:val="32"/>
        </w:rPr>
        <w:t>跑示意图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（三）操作要求</w:t>
      </w:r>
    </w:p>
    <w:p>
      <w:pPr>
        <w:pStyle w:val=""/>
        <w:numPr>
          <w:ilvl w:val="0"/>
          <w:numId w:val="1550108427"/>
        </w:numPr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跑步前应先进行热身运动；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2、参考人员听到发令信号后才能起跑，不得抢跑；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3、跑步过程中不得故意抢道、占道或妨碍其他考生完成考核；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4、跑步过程中不得越过跑道最内侧实线。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（四）评判细则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1、计时从发令“开始”至身体有效部位越线为止。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2、出现抢跑的可以提醒1次，第2次抢跑的不计取成绩；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3、跑步过程中故意抢道、占道或妨碍其他考生完成考核，经提醒后仍然存在违规行为的不计取成绩；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4、跑步过程中越过跑道最内侧实线，裁判人员将警告并纠正，第二次越过跑道最内侧实线的，取消成绩。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5、每名参考人员均只测试1次。</w:t>
      </w:r>
    </w:p>
    <w:p>
      <w:pPr>
        <w:pStyle w:val=""/>
        <w:ind w:firstLine="627"/>
        <w:spacing w:before="156" w:after="156" w:line="579" w:lineRule="exact"/>
      </w:pPr>
      <w:r>
        <w:rPr>
          <w:rFonts w:ascii="方正黑体_GBK" w:hAnsi="方正黑体_GBK"/>
          <w:sz w:val="32"/>
          <w:szCs w:val="32"/>
        </w:rPr>
        <w:t>四、原地跳高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（一）场地器材</w:t>
      </w:r>
    </w:p>
    <w:p>
      <w:pPr>
        <w:pStyle w:val=""/>
        <w:ind w:firstLine="627"/>
        <w:spacing w:line="579" w:lineRule="exact"/>
      </w:pPr>
      <w:r>
        <w:rPr>
          <w:rFonts w:ascii="仿宋_GB2312" w:hAnsi="仿宋_GB2312"/>
          <w:sz w:val="32"/>
          <w:szCs w:val="32"/>
        </w:rPr>
        <w:t>在考核场地设置专用摸高测试仪器或原地摸高线和起跳摸高线（摸高杆），在起跳处设置起跳区。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（二）操作程序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1、参考人员呈站立姿势站立于起跳区域内，单臂伸展至最大长度，测量地面至单臂中指尖高度为H1；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2、听到“开始”的口令后，参考人员屈腿半蹲，双臂尽力后摆，双腿发力，向上垂直起跳，单手触碰固定高度或摸高测试仪测试条，记录高度H2；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3、测试成绩H3为摸高高度H2减去单臂伸展高度H1；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4、每名参考人员可以测试2次，取成绩较好的1次。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（三）操作要求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1、起跳时双腿不能移动或有垫步的动作；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2、参考人员指甲不得超过指尖0.3厘米；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3、参考人员不得戴手套等其他物品；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4、参考人员必须在起跳区域内起跳。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（四）评判细则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1、起跳时双腿移动或有垫动作的不计取成绩；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2、参考人员指甲超过指尖0.3厘米或戴手套等其他物品的不计取成绩；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3、参考人员的最终成绩为2次测试中的较好成绩。</w:t>
      </w:r>
    </w:p>
    <w:p>
      <w:pPr>
        <w:pStyle w:val=""/>
        <w:spacing w:line="579" w:lineRule="exact"/>
        <w:rPr>
          <w:rFonts w:ascii="仿宋_GB2312" w:hAnsi="仿宋_GB2312"/>
          <w:sz w:val="32"/>
          <w:szCs w:val="32"/>
        </w:rPr>
      </w:pPr>
    </w:p>
    <w:p>
      <w:pPr>
        <w:pStyle w:val=""/>
        <w:jc w:val="center"/>
        <w:spacing w:line="579" w:lineRule="exact"/>
        <w:rPr>
          <w:rFonts w:ascii="方正黑体_GBK" w:hAnsi="方正黑体_GBK"/>
          <w:sz w:val="44"/>
          <w:szCs w:val="44"/>
        </w:rPr>
      </w:pPr>
    </w:p>
    <w:p>
      <w:pPr>
        <w:pStyle w:val=""/>
        <w:jc w:val="center"/>
        <w:spacing w:line="579" w:lineRule="exact"/>
      </w:pPr>
      <w:r>
        <w:rPr>
          <w:rFonts w:ascii="方正黑体_GBK" w:hAnsi="方正黑体_GBK"/>
          <w:sz w:val="44"/>
          <w:szCs w:val="44"/>
        </w:rPr>
        <w:t>岗位适应性测试</w:t>
      </w:r>
    </w:p>
    <w:p>
      <w:pPr>
        <w:pStyle w:val=""/>
        <w:ind w:firstLine="640"/>
        <w:spacing w:line="579" w:lineRule="exact"/>
        <w:rPr>
          <w:rFonts w:ascii="仿宋_GB2312" w:hAnsi="仿宋_GB2312"/>
          <w:sz w:val="32"/>
          <w:szCs w:val="32"/>
        </w:rPr>
      </w:pPr>
    </w:p>
    <w:p>
      <w:pPr>
        <w:pStyle w:val=""/>
        <w:ind w:firstLine="627"/>
        <w:spacing w:before="156" w:after="156" w:line="579" w:lineRule="exact"/>
      </w:pPr>
      <w:r>
        <w:rPr>
          <w:rFonts w:ascii="方正黑体_GBK" w:hAnsi="方正黑体_GBK"/>
          <w:sz w:val="32"/>
          <w:szCs w:val="32"/>
        </w:rPr>
        <w:t>一、负重登六楼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（一）场地设置</w:t>
      </w:r>
    </w:p>
    <w:p>
      <w:pPr>
        <w:pStyle w:val=""/>
        <w:ind w:firstLine="640"/>
        <w:spacing w:line="579" w:lineRule="exact"/>
        <w:rPr>
          <w:b/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在综合训练楼或高度不小于18米的其他建筑1层楼梯第一台阶处标出起点线，在第6层最后一个台阶上沿处标出终点线，起点线处放置65毫米口径水带2盘（水带可提前固定捆扎）。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（二）操作程序</w:t>
      </w:r>
    </w:p>
    <w:p>
      <w:pPr>
        <w:pStyle w:val=""/>
        <w:ind w:firstLine="640"/>
        <w:spacing w:line="579" w:lineRule="exact"/>
        <w:rPr>
          <w:b/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参考人员在起点线处做好准备，当听到“开始”的口令后，迅速携带水带沿楼梯攀登至6层，冲出终点线喊“好”。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（三）操作要求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1、参考人员着佩戴灭火救援头盔及消防安全腰带，手提2盘65毫米口径水带。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2、65毫米水带必须为20型，2盘卷放于1层楼梯口。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3、参考人员必须徒手携带2盘水带至6楼，不得借助任何其他工具辅助携带水带。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4、个人防护装备及水带不得掉落。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5、听到“开始”口令前不得抢跑，不得触碰水带，水带口不可互相连接。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（四）评判细则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1、计时从发出“开始”信号时，到全部身体及装备冲出终点线止；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2、经提醒1次后，在开始信号发出前仍然抢跑的不计取成绩；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3、操作前水带未双卷立放的必须整理完毕后方可起跑；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4、登楼过程中，个人防护装备掉落未重新佩戴的，水带散开或掉落未重新整理，拖拉水带至终点线的不计取成绩。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5、每名参考人员均只操作1次。</w:t>
      </w:r>
    </w:p>
    <w:p>
      <w:pPr>
        <w:pStyle w:val=""/>
        <w:ind w:firstLine="627"/>
        <w:spacing w:before="156" w:after="156" w:line="579" w:lineRule="exact"/>
      </w:pPr>
      <w:r>
        <w:rPr>
          <w:rFonts w:ascii="方正黑体_GBK" w:hAnsi="方正黑体_GBK"/>
          <w:sz w:val="32"/>
          <w:szCs w:val="32"/>
        </w:rPr>
        <w:t>二、原地攀登六米拉梯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（一）场地设置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在训练塔或其他楼房二层窗口架设6米拉梯形成攀登通道，在上一层设置安全保护绳一条，地面设保护人员2名，2层窗口处设保护人员1名。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（二）操作程序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1、听到“准备”的口令，工作人员为参考人员系好安全绳，做好准备；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2、听到“预备”的口令，参考人员双手抓住梯蹬，做好操作准备；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3、听到“开始”的口令，参考人员迅速向上逐级攀登，直至进入二楼窗内，双脚着地后，面向窗外举手示意喊“好”。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（三）操作要求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1、参考人员统一着灭火防护服、戴灭火救援头盔、系消防安全腰带、穿灭火防护靴。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2、听到“开始”口令后才能攀登，不得提前动作；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3、攀登梯子时，双手不得同时脱离梯蹬；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4、安全绳须经三人以上吊拉、检查合格后方可使用。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（四）评判细则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1、计时从发出“开始”信号时，到进入二层窗框双脚落地止；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2、参考人员经提醒1次后着装仍不符合要求或提前动作的不计取成绩；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3、参考人员未从拉梯最低梯蹬开始攀登的不计取成绩；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4、未逐级攀登的，在此科目最终成绩基础上加1秒；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5、未做好安全保护措施前不得开始攀登；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6、参考人员进入二楼窗内，双脚着地面向窗外举手示意喊“好”后计时结束；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7、每名参考人员均只操作1次。</w:t>
      </w:r>
    </w:p>
    <w:p>
      <w:pPr>
        <w:pStyle w:val=""/>
        <w:ind w:firstLine="627"/>
        <w:spacing w:before="156" w:after="156" w:line="579" w:lineRule="exact"/>
      </w:pPr>
      <w:r>
        <w:rPr>
          <w:rFonts w:ascii="方正黑体_GBK" w:hAnsi="方正黑体_GBK"/>
          <w:sz w:val="32"/>
          <w:szCs w:val="32"/>
        </w:rPr>
        <w:t>三、拖拽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（一）场地设置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在空旷的场地上设置起点线S1和终点线S2，在起点线前放置1个60公斤重假人（如图所示）。</w:t>
      </w:r>
    </w:p>
    <w:p>
      <w:pPr>
        <w:pStyle w:val=""/>
        <w:jc w:val="center"/>
        <w:spacing w:line="720" w:lineRule="auto"/>
        <w:rPr>
          <w:rFonts w:ascii="仿宋_GB2312" w:hAnsi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3532505" cy="1760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rcRect t="20587" r="15251" b="2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（二）操作程序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参考人员佩戴灭火救援头盔及消防安全腰带，听到“开始”口令后，可采取任意姿势，徒手将60公斤重假人从起点线拖拽至终点线后喊“好”。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（三）操作要求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1、参考人员统一戴灭火救援头盔，系消防安全腰带。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2、开始前参考人员站立于假人一侧；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3、听到“开始”口令后开始徒手拖拽假人，不得借助任何工具；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4、假人整体越过终点线后操作完成。</w:t>
      </w:r>
    </w:p>
    <w:p>
      <w:pPr>
        <w:pStyle w:val=""/>
        <w:ind w:firstLine="643"/>
        <w:spacing w:line="579" w:lineRule="exact"/>
      </w:pPr>
      <w:r>
        <w:rPr>
          <w:b/>
          <w:color w:val="000000"/>
          <w:rFonts w:ascii="方正楷体_GBK" w:hAnsi="方正楷体_GBK"/>
          <w:sz w:val="32"/>
          <w:szCs w:val="32"/>
        </w:rPr>
        <w:t>（四）评判细则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1、计时从发出“开始”信号时，到假人整体越过终点线后止；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2、参考人员经提醒1次后仍提前动作的不计取成绩；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3、拖拽过程中非徒手操作或借助其他工具的不计取成绩；</w:t>
      </w:r>
    </w:p>
    <w:p>
      <w:pPr>
        <w:pStyle w:val=""/>
        <w:ind w:firstLine="640"/>
        <w:spacing w:line="579" w:lineRule="exact"/>
      </w:pPr>
      <w:r>
        <w:rPr>
          <w:rFonts w:ascii="仿宋_GB2312" w:hAnsi="仿宋_GB2312"/>
          <w:sz w:val="32"/>
          <w:szCs w:val="32"/>
        </w:rPr>
        <w:t>4、每名参考人员均只操作1次。</w:t>
      </w:r>
    </w:p>
    <w:p>
      <w:pPr>
        <w:pStyle w:val=""/>
        <w:spacing w:line="579" w:lineRule="exact"/>
        <w:rPr>
          <w:rFonts w:ascii="仿宋_GB2312" w:hAnsi="仿宋_GB2312"/>
          <w:sz w:val="32"/>
          <w:szCs w:val="32"/>
        </w:rPr>
      </w:pPr>
    </w:p>
    <w:p>
      <w:pPr>
        <w:pStyle w:val="Default"/>
        <w:spacing w:line="20" w:lineRule="exact"/>
      </w:pPr>
    </w:p>
    <w:sectPr>
      <w:pgNumType w:fmt="arabicAlpha"/>
      <w:pgSz w:w="11906" w:h="16838"/>
      <w:pgMar w:left="1417" w:right="1417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黑体_GBK"/>
  <w:font w:name="方正小标宋_GBK"/>
  <w:font w:name="黑体"/>
  <w:font w:name="方正仿宋_GBK"/>
  <w:font w:name="仿宋_GB2312"/>
  <w:font w:name="Verdana"/>
  <w:font w:name="方正小标宋简体"/>
  <w:font w:name="方正楷体_GBK"/>
  <w:font w:name="宋体"/>
  <w:font w:name="Constantia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0.252083in;width:0.486806in" filled="false">
          <v:textbox>
            <w:txbxContent>
              <w:p>
                <w:pPr>
                  <w:pStyle w:val=""/>
                  <w:rPr>
                    <w:sz w:val="1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>- 4 -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0108427">
    <w:multiLevelType w:val="singleLevel"/>
    <w:lvl w:ilvl="0">
      <w:numFmt w:val="decimal"/>
      <w:lvlText w:val="%1、"/>
      <w:start w:val="1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550108427">
    <w:abstractNumId w:val="1550108427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  <w:rPr>
      <w:rFonts w:ascii="Verdana" w:hAnsi="Verdana"/>
      <w:sz w:val="24"/>
      <w:szCs w:val="20"/>
    </w:rPr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超链接"/>
    <w:qFormat/>
    <w:basedOn w:val="默认段落字体"/>
    <w:rPr>
      <w:color w:val="000000"/>
      <w:sz w:val="18"/>
      <w:szCs w:val="18"/>
    </w:rPr>
  </w:style>
  <w:style w:type="character" w:styleId="">
    <w:name w:val="页码"/>
    <w:qFormat/>
    <w:basedOn w:val="默认段落字体"/>
  </w:style>
  <w:style w:type="character" w:styleId="">
    <w:name w:val="已访问的超链接"/>
    <w:qFormat/>
    <w:basedOn w:val="默认段落字体"/>
    <w:rPr>
      <w:color w:val="000000"/>
      <w:sz w:val="18"/>
      <w:szCs w:val="18"/>
    </w:rPr>
  </w:style>
  <w:style w:type="character" w:styleId="spl">
    <w:name w:val="spl"/>
    <w:qFormat/>
    <w:basedOn w:val="默认段落字体"/>
    <w:rPr>
      <w:color w:val="474646"/>
      <w:sz w:val="22"/>
      <w:szCs w:val="22"/>
    </w:rPr>
  </w:style>
  <w:style w:type="character" w:styleId="spl1">
    <w:name w:val="spl1"/>
    <w:qFormat/>
    <w:basedOn w:val="默认段落字体"/>
    <w:rPr>
      <w:color w:val="474646"/>
      <w:sz w:val="22"/>
      <w:szCs w:val="22"/>
    </w:rPr>
  </w:style>
  <w:style w:type="character" w:styleId="2Constantia27">
    <w:name w:val="正文文本 (2) + Constantia27"/>
    <w:qFormat/>
    <w:rPr>
      <w:b/>
      <w:color w:val="000000"/>
      <w:rFonts w:ascii="Constantia" w:hAnsi="Constantia"/>
      <w:sz w:val="20"/>
      <w:szCs w:val="20"/>
    </w:rPr>
  </w:style>
  <w:style w:type="character" w:styleId="spr">
    <w:name w:val="spr"/>
    <w:qFormat/>
    <w:basedOn w:val="默认段落字体"/>
  </w:style>
  <w:style w:type="character" w:styleId="spr1">
    <w:name w:val="spr1"/>
    <w:qFormat/>
    <w:basedOn w:val="默认段落字体"/>
  </w:style>
  <w:style w:type="paragraph" w:styleId="1">
    <w:name w:val="正文文本缩进1"/>
    <w:qFormat/>
    <w:pPr>
      <w:jc w:val="both"/>
      <w:ind w:firstLine="570"/>
    </w:pPr>
    <w:rPr>
      <w:color w:val="000000"/>
      <w:rFonts w:ascii="仿宋_GB2312" w:hAnsi="仿宋_GB2312"/>
      <w:sz w:val="32"/>
      <w:szCs w:val="32"/>
    </w:rPr>
  </w:style>
  <w:style w:type="paragraph" w:styleId="">
    <w:name w:val="正文文本"/>
    <w:qFormat/>
    <w:basedOn w:val="正文"/>
    <w:pPr>
      <w:spacing w:line="400" w:lineRule="exact"/>
    </w:pPr>
    <w:rPr>
      <w:sz w:val="24"/>
      <w:szCs w:val="20"/>
    </w:rPr>
  </w:style>
  <w:style w:type="paragraph" w:styleId="">
    <w:name w:val="普通(网站)"/>
    <w:qFormat/>
    <w:basedOn w:val="正文"/>
    <w:pPr/>
    <w:rPr>
      <w:sz w:val="24"/>
    </w:rPr>
  </w:style>
  <w:style w:type="paragraph" w:styleId="">
    <w:name w:val="页眉"/>
    <w:qFormat/>
    <w:basedOn w:val="正文"/>
    <w:pPr>
      <w:jc w:val="both"/>
      <w:spacing w:line="240" w:lineRule="auto"/>
    </w:pPr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Default">
    <w:name w:val="Default"/>
    <w:qFormat/>
    <w:pPr/>
    <w:rPr>
      <w:color w:val="000000"/>
      <w:rFonts w:ascii="方正小标宋_GBK" w:hAnsi="方正小标宋_GBK"/>
      <w:sz w:val="24"/>
      <w:szCs w:val="22"/>
    </w:rPr>
  </w:style>
  <w:style w:type="paragraph" w:styleId="Char">
    <w:name w:val="Char"/>
    <w:qFormat/>
    <w:basedOn w:val="正文"/>
    <w:pPr>
      <w:jc w:val="left"/>
      <w:spacing w:after="160" w:line="240" w:lineRule="exact"/>
    </w:pPr>
    <w:rPr>
      <w:rFonts w:ascii="Verdana" w:hAnsi="Verdana"/>
      <w:sz w:val="24"/>
      <w:szCs w:val="20"/>
    </w:rPr>
  </w:style>
  <w:style w:type="paragraph" w:styleId="msonormalcxspmiddle">
    <w:name w:val="msonormalcxspmiddle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NormalIndent1">
    <w:name w:val="Normal Indent1"/>
    <w:qFormat/>
    <w:basedOn w:val="正文"/>
    <w:pPr>
      <w:ind w:firstLine="420"/>
    </w:p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numbering" Target="numbering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