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 xml:space="preserve">4 </w:t>
      </w:r>
    </w:p>
    <w:p>
      <w:pPr>
        <w:pStyle w:val=""/>
        <w:jc w:val="center"/>
        <w:spacing w:line="560" w:lineRule="exact"/>
      </w:pPr>
      <w:r>
        <w:rPr>
          <w:rFonts w:ascii="Times New Roman" w:hAnsi="Times New Roman"/>
          <w:sz w:val="44"/>
        </w:rPr>
        <w:t>体能测评项目和标准</w:t>
      </w:r>
    </w:p>
    <w:p>
      <w:pPr>
        <w:pStyle w:val=""/>
        <w:jc w:val="center"/>
        <w:spacing w:line="560" w:lineRule="exact"/>
        <w:rPr>
          <w:rFonts w:ascii="Times New Roman" w:hAnsi="Times New Roman"/>
          <w:sz w:val="44"/>
        </w:rPr>
      </w:pPr>
    </w:p>
    <w:p>
      <w:pPr>
        <w:pStyle w:val=""/>
        <w:jc w:val="left"/>
        <w:ind w:firstLine="630"/>
        <w:spacing w:line="560" w:lineRule="exact"/>
      </w:pPr>
      <w:r>
        <w:rPr>
          <w:color w:val="3F3F3F"/>
          <w:rFonts w:ascii="黑体" w:hAnsi="宋体"/>
          <w:sz w:val="24"/>
        </w:rPr>
        <w:t>（一）男子组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5" w:type="dxa"/>
        <w:tblStyle w:val="普通表格"/>
        <w:tblLook w:val="1E0"/>
        <w:tblW w:w="0" w:type="auto"/>
      </w:tblPr>
      <w:tblGrid>
        <w:gridCol w:w="3088"/>
        <w:gridCol w:w="3089"/>
        <w:gridCol w:w="2496"/>
      </w:tblGrid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088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项  目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585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标准</w:t>
            </w:r>
          </w:p>
        </w:tc>
      </w:tr>
      <w:t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89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30岁（含）以下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496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31岁（含）以上</w:t>
            </w: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88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10米×4往返跑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89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≤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13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″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496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≤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13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″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4</w:t>
            </w: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88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1000米跑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89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≤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4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′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25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″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496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≤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4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′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35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″</w:t>
            </w: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3088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纵跳摸高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5585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≥</w:t>
            </w:r>
            <w:r>
              <w:rPr>
                <w:color w:val="3F3F3F"/>
                <w:sz w:val="28"/>
                <w:szCs w:val="28"/>
              </w:rPr>
              <w:t>265</w:t>
            </w:r>
            <w:r>
              <w:rPr>
                <w:color w:val="3F3F3F"/>
                <w:rFonts w:hAnsi="宋体"/>
                <w:sz w:val="28"/>
                <w:szCs w:val="28"/>
              </w:rPr>
              <w:t>厘米</w:t>
            </w:r>
          </w:p>
        </w:tc>
      </w:tr>
    </w:tbl>
    <w:p>
      <w:pPr>
        <w:pStyle w:val=""/>
        <w:jc w:val="left"/>
        <w:ind w:firstLine="470"/>
        <w:spacing w:line="560" w:lineRule="exact"/>
      </w:pPr>
      <w:r>
        <w:rPr>
          <w:color w:val="3F3F3F"/>
          <w:rFonts w:ascii="黑体" w:hAnsi="宋体"/>
          <w:sz w:val="24"/>
        </w:rPr>
        <w:t>（二）女子组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5" w:type="dxa"/>
        <w:tblStyle w:val="普通表格"/>
        <w:tblLook w:val="1E0"/>
        <w:tblW w:w="0" w:type="auto"/>
      </w:tblPr>
      <w:tblGrid>
        <w:gridCol w:w="2840"/>
        <w:gridCol w:w="2841"/>
        <w:gridCol w:w="2841"/>
      </w:tblGrid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840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项  目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682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标  准</w:t>
            </w:r>
          </w:p>
        </w:tc>
      </w:tr>
      <w:t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41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30岁（含）以下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41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31岁（含）以上</w:t>
            </w: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40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10米X4往返跑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41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≤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14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″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1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41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≤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14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″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4</w:t>
            </w: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40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800米跑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41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≤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4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′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20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″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41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≤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4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′</w:t>
            </w:r>
            <w:r>
              <w:rPr>
                <w:color w:val="3F3F3F"/>
                <w:rFonts w:ascii="黑体" w:hAnsi="宋体"/>
                <w:sz w:val="28"/>
                <w:szCs w:val="28"/>
              </w:rPr>
              <w:t>30</w:t>
            </w:r>
            <w:r>
              <w:rPr>
                <w:color w:val="3F3F3F"/>
                <w:rFonts w:ascii="宋体" w:hAnsi="宋体"/>
                <w:sz w:val="28"/>
                <w:szCs w:val="28"/>
              </w:rPr>
              <w:t>″</w:t>
            </w: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840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rFonts w:ascii="黑体" w:hAnsi="宋体"/>
                <w:sz w:val="28"/>
                <w:szCs w:val="28"/>
              </w:rPr>
              <w:t>纵跳摸高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682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color w:val="3F3F3F"/>
                <w:sz w:val="28"/>
                <w:szCs w:val="28"/>
              </w:rPr>
              <w:t>≥</w:t>
            </w:r>
            <w:r>
              <w:rPr>
                <w:color w:val="3F3F3F"/>
                <w:sz w:val="28"/>
                <w:szCs w:val="28"/>
              </w:rPr>
              <w:t>230</w:t>
            </w:r>
            <w:r>
              <w:rPr>
                <w:color w:val="3F3F3F"/>
                <w:rFonts w:hAnsi="宋体"/>
                <w:sz w:val="28"/>
                <w:szCs w:val="28"/>
              </w:rPr>
              <w:t>厘米</w:t>
            </w:r>
          </w:p>
        </w:tc>
      </w:tr>
    </w:tbl>
    <w:p>
      <w:pPr>
        <w:pStyle w:val=""/>
        <w:ind w:firstLine="640"/>
        <w:spacing w:line="520" w:lineRule="exact"/>
        <w:rPr>
          <w:rFonts w:ascii="Times New Roman" w:hAnsi="Times New Roman"/>
          <w:sz w:val="32"/>
        </w:rPr>
      </w:pPr>
    </w:p>
    <w:p>
      <w:pPr>
        <w:pStyle w:val=""/>
        <w:ind w:firstLine="640"/>
        <w:spacing w:line="520" w:lineRule="exact"/>
      </w:pPr>
      <w:r>
        <w:rPr>
          <w:rFonts w:ascii="Times New Roman" w:hAnsi="Times New Roman"/>
          <w:sz w:val="32"/>
        </w:rPr>
        <w:t>一</w:t>
      </w:r>
      <w:r>
        <w:rPr>
          <w:rFonts w:ascii="Times New Roman" w:hAnsi="Times New Roman"/>
          <w:sz w:val="32"/>
        </w:rPr>
        <w:t>、10米×4往返跑</w:t>
      </w:r>
    </w:p>
    <w:p>
      <w:pPr>
        <w:pStyle w:val=""/>
        <w:ind w:firstLine="643"/>
        <w:spacing w:line="520" w:lineRule="exact"/>
      </w:pPr>
      <w:r>
        <w:rPr>
          <w:b/>
          <w:rFonts w:ascii="楷体_GB2312" w:hAnsi="Times New Roman"/>
          <w:sz w:val="32"/>
        </w:rPr>
        <w:t>场地器材：</w:t>
      </w:r>
      <w:r>
        <w:rPr>
          <w:rFonts w:ascii="Times New Roman" w:hAnsi="Times New Roman"/>
          <w:sz w:val="32"/>
        </w:rPr>
        <w:t xml:space="preserve">10米长的直线跑道若干，在跑道的两端线（S1和S2）外30厘米处各划一条线（图1）。木块（5厘米×10厘米）每道3块，其中2块放在S2线外的横线上，一块放在S1线外的横线上。秒表若干块，使用前应进行校正。 </w:t>
      </w:r>
    </w:p>
    <w:p>
      <w:pPr>
        <w:pStyle w:val=""/>
        <w:ind w:firstLine="643"/>
        <w:spacing w:line="520" w:lineRule="exact"/>
      </w:pPr>
      <w:r>
        <w:rPr>
          <w:b/>
          <w:rFonts w:ascii="楷体_GB2312" w:hAnsi="Times New Roman"/>
          <w:sz w:val="32"/>
        </w:rPr>
        <w:t>测试方法：</w:t>
      </w:r>
      <w:r>
        <w:rPr>
          <w:rFonts w:ascii="Times New Roman" w:hAnsi="Times New Roman"/>
          <w:sz w:val="32"/>
        </w:rPr>
        <w:t xml:space="preserve">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 </w:t>
      </w:r>
    </w:p>
    <w:p>
      <w:pPr>
        <w:pStyle w:val=""/>
        <w:ind w:firstLine="643"/>
        <w:spacing w:line="520" w:lineRule="exact"/>
      </w:pPr>
      <w:r>
        <w:rPr>
          <w:b/>
          <w:rFonts w:ascii="楷体_GB2312" w:hAnsi="Times New Roman"/>
          <w:sz w:val="32"/>
        </w:rPr>
        <w:t>注意事项：</w:t>
      </w:r>
      <w:r>
        <w:rPr>
          <w:rFonts w:ascii="Times New Roman" w:hAnsi="Times New Roman"/>
          <w:sz w:val="32"/>
        </w:rPr>
        <w:t>当受测者取放木块时，脚不要越过S1和S2线。</w:t>
      </w:r>
    </w:p>
    <w:tbl>
      <w:tblPr>
        <w:jc w:val="center"/>
        <w:tblStyle w:val="普通表格"/>
        <w:tblLook w:val="1E0"/>
        <w:tblW w:w="0" w:type="auto"/>
      </w:tblPr>
      <w:tblGrid>
        <w:gridCol w:w="1034"/>
        <w:gridCol w:w="3826"/>
        <w:gridCol w:w="955"/>
      </w:tblGrid>
      <w:tr>
        <w:trPr>
          <w:trHeight w:val="177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nil" w:sz="0" w:color="auto" w:space="0"/>
            </w:tcBorders>
            <w:vAlign w:val="center"/>
            <w:tcW w:w="1034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32"/>
              </w:rPr>
              <w:t>S1</w:t>
            </w: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nil" w:sz="0" w:color="auto" w:space="0"/>
            </w:tcBorders>
            <w:vAlign w:val="center"/>
            <w:tcW w:w="3826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single" w:sz="8" w:color="000000" w:space="0"/>
            </w:tcBorders>
            <w:vAlign w:val="center"/>
            <w:tcW w:w="955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32"/>
              </w:rPr>
              <w:t>S2</w:t>
            </w:r>
          </w:p>
        </w:tc>
      </w:tr>
      <w:tr>
        <w:trPr>
          <w:trHeight w:val="285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nil" w:sz="0" w:color="auto" w:space="0"/>
            </w:tcBorders>
            <w:vAlign w:val="center"/>
            <w:tcW w:w="1034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nil" w:sz="0" w:color="auto" w:space="0"/>
            </w:tcBorders>
            <w:vAlign w:val="center"/>
            <w:tcW w:w="3826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single" w:sz="8" w:color="000000" w:space="0"/>
            </w:tcBorders>
            <w:vAlign w:val="center"/>
            <w:tcW w:w="955" w:type="dxa"/>
          </w:tcPr>
          <w:p>
            <w:pPr>
              <w:pStyle w:val=""/>
              <w:spacing w:line="560" w:lineRule="exact"/>
            </w:pPr>
          </w:p>
        </w:tc>
      </w:tr>
      <w:tr>
        <w:trPr>
          <w:trHeight w:val="285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nil" w:sz="0" w:color="auto" w:space="0"/>
            </w:tcBorders>
            <w:vAlign w:val="center"/>
            <w:tcW w:w="1034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nil" w:sz="0" w:color="auto" w:space="0"/>
            </w:tcBorders>
            <w:vAlign w:val="center"/>
            <w:tcW w:w="3826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single" w:sz="8" w:color="000000" w:space="0"/>
            </w:tcBorders>
            <w:vAlign w:val="center"/>
            <w:tcW w:w="955" w:type="dxa"/>
          </w:tcPr>
          <w:p>
            <w:pPr>
              <w:pStyle w:val=""/>
              <w:spacing w:line="560" w:lineRule="exact"/>
            </w:pPr>
          </w:p>
        </w:tc>
      </w:tr>
      <w:tr>
        <w:trPr>
          <w:trHeight w:val="285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nil" w:sz="0" w:color="auto" w:space="0"/>
            </w:tcBorders>
            <w:vAlign w:val="center"/>
            <w:tcW w:w="1034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nil" w:sz="0" w:color="auto" w:space="0"/>
            </w:tcBorders>
            <w:vAlign w:val="center"/>
            <w:tcW w:w="3826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single" w:sz="8" w:color="000000" w:space="0"/>
            </w:tcBorders>
            <w:vAlign w:val="center"/>
            <w:tcW w:w="955" w:type="dxa"/>
          </w:tcPr>
          <w:p>
            <w:pPr>
              <w:pStyle w:val=""/>
              <w:spacing w:line="560" w:lineRule="exact"/>
            </w:pPr>
          </w:p>
        </w:tc>
      </w:tr>
      <w:tr>
        <w:trPr>
          <w:trHeight w:val="285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nil" w:sz="0" w:color="auto" w:space="0"/>
            </w:tcBorders>
            <w:vAlign w:val="center"/>
            <w:tcW w:w="1034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single" w:sz="8" w:color="000000" w:space="0"/>
              <w:left w:val="single" w:sz="8" w:color="000000" w:space="0"/>
              <w:right w:val="single" w:sz="8" w:color="000000" w:space="0"/>
            </w:tcBorders>
            <w:vAlign w:val="center"/>
            <w:tcW w:w="3826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single" w:sz="8" w:color="000000" w:space="0"/>
            </w:tcBorders>
            <w:vAlign w:val="center"/>
            <w:tcW w:w="955" w:type="dxa"/>
          </w:tcPr>
          <w:p>
            <w:pPr>
              <w:pStyle w:val=""/>
              <w:spacing w:line="560" w:lineRule="exact"/>
            </w:pPr>
            <w:r>
              <w:rPr>
                <w:rFonts w:ascii="Times New Roman" w:hAnsi="Times New Roman"/>
                <w:sz w:val="32"/>
              </w:rPr>
              <w:t>← →</w:t>
            </w:r>
          </w:p>
        </w:tc>
      </w:tr>
      <w:tr>
        <w:trPr>
          <w:trHeight w:val="285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nil" w:sz="0" w:color="auto" w:space="0"/>
            </w:tcBorders>
            <w:vAlign w:val="center"/>
            <w:tcW w:w="1034" w:type="dxa"/>
          </w:tcPr>
          <w:p>
            <w:pPr>
              <w:pStyle w:val=""/>
              <w:spacing w:line="560" w:lineRule="exact"/>
            </w:pPr>
          </w:p>
        </w:tc>
        <w:tc>
          <w:tcPr>
            <w:tcBorders>
              <w:top w:val="nil" w:sz="0" w:color="auto" w:space="0"/>
              <w:bottom w:val="nil" w:sz="0" w:color="auto" w:space="0"/>
              <w:left w:val="single" w:sz="8" w:color="000000" w:space="0"/>
              <w:right w:val="single" w:sz="8" w:color="000000" w:space="0"/>
            </w:tcBorders>
            <w:vAlign w:val="center"/>
            <w:tcW w:w="3826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  <w:sz w:val="32"/>
              </w:rPr>
              <w:t>← 10米 →</w:t>
            </w:r>
          </w:p>
        </w:tc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single" w:sz="8" w:color="000000" w:space="0"/>
            </w:tcBorders>
            <w:vAlign w:val="center"/>
            <w:tcW w:w="955" w:type="dxa"/>
          </w:tcPr>
          <w:p>
            <w:pPr>
              <w:pStyle w:val=""/>
              <w:jc w:val="center"/>
              <w:spacing w:line="560" w:lineRule="exact"/>
            </w:pPr>
            <w:r>
              <w:rPr>
                <w:rFonts w:ascii="Times New Roman" w:hAnsi="Times New Roman"/>
              </w:rPr>
              <w:t>30厘米</w:t>
            </w:r>
          </w:p>
        </w:tc>
      </w:tr>
    </w:tbl>
    <w:p>
      <w:pPr>
        <w:pStyle w:val=""/>
        <w:jc w:val="center"/>
        <w:spacing w:line="560" w:lineRule="exact"/>
      </w:pPr>
      <w:r>
        <w:rPr>
          <w:rFonts w:ascii="Times New Roman" w:hAnsi="Times New Roman"/>
          <w:sz w:val="32"/>
        </w:rPr>
        <w:t>图1</w:t>
      </w:r>
    </w:p>
    <w:p>
      <w:pPr>
        <w:pStyle w:val=""/>
        <w:ind w:firstLine="640"/>
        <w:spacing w:line="560" w:lineRule="exac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二、</w:t>
      </w:r>
      <w:r>
        <w:rPr>
          <w:rFonts w:ascii="Times New Roman" w:hAnsi="Times New Roman"/>
          <w:sz w:val="32"/>
        </w:rPr>
        <w:t>男子</w:t>
      </w:r>
      <w:r>
        <w:rPr>
          <w:rFonts w:ascii="Times New Roman" w:hAnsi="Times New Roman"/>
          <w:sz w:val="32"/>
        </w:rPr>
        <w:t>1000米跑</w:t>
      </w:r>
      <w:r>
        <w:rPr>
          <w:rFonts w:ascii="Times New Roman" w:hAnsi="Times New Roman"/>
          <w:sz w:val="32"/>
        </w:rPr>
        <w:t>、女子800米跑</w:t>
      </w:r>
    </w:p>
    <w:p>
      <w:pPr>
        <w:pStyle w:val=""/>
        <w:ind w:firstLine="643"/>
        <w:spacing w:line="560" w:lineRule="exact"/>
      </w:pPr>
      <w:r>
        <w:rPr>
          <w:b/>
          <w:rFonts w:ascii="楷体_GB2312" w:hAnsi="Times New Roman"/>
          <w:sz w:val="32"/>
        </w:rPr>
        <w:t>场地器材：</w:t>
      </w:r>
      <w:r>
        <w:rPr>
          <w:rFonts w:ascii="Times New Roman" w:hAnsi="Times New Roman"/>
          <w:sz w:val="32"/>
        </w:rPr>
        <w:t xml:space="preserve">400米田径跑道。地面平坦，地质不限。秒表若干块，使用前应进行校正。 </w:t>
      </w:r>
    </w:p>
    <w:p>
      <w:pPr>
        <w:pStyle w:val=""/>
        <w:ind w:firstLine="640"/>
        <w:spacing w:line="560" w:lineRule="exact"/>
      </w:pPr>
      <w:r>
        <w:rPr>
          <w:rFonts w:ascii="Times New Roman" w:hAnsi="Times New Roman"/>
          <w:sz w:val="32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"/>
        <w:ind w:firstLine="640"/>
        <w:spacing w:line="560" w:lineRule="exact"/>
      </w:pPr>
      <w:r>
        <w:rPr>
          <w:rFonts w:ascii="Times New Roman" w:hAnsi="Times New Roman"/>
          <w:sz w:val="32"/>
        </w:rPr>
        <w:t xml:space="preserve">三、纵跳摸高 </w:t>
      </w:r>
    </w:p>
    <w:p>
      <w:pPr>
        <w:pStyle w:val=""/>
        <w:ind w:firstLine="643"/>
        <w:spacing w:line="560" w:lineRule="exact"/>
        <w:rPr>
          <w:rFonts w:ascii="Times New Roman" w:hAnsi="Times New Roman"/>
          <w:sz w:val="32"/>
        </w:rPr>
      </w:pPr>
      <w:r>
        <w:rPr>
          <w:b/>
          <w:rFonts w:ascii="楷体_GB2312" w:hAnsi="Times New Roman"/>
          <w:sz w:val="32"/>
        </w:rPr>
        <w:t>场地要求：</w:t>
      </w:r>
      <w:r>
        <w:rPr>
          <w:rFonts w:ascii="Times New Roman" w:hAnsi="Times New Roman"/>
          <w:sz w:val="32"/>
        </w:rPr>
        <w:t xml:space="preserve">通常在室内场地测试。如选择室外场地测试，需在天气状况许可的情况下进行，当天平均气温应在15-35摄氏度之间，无太阳直射、风力不超过3级。 </w:t>
      </w:r>
    </w:p>
    <w:p>
      <w:pPr>
        <w:pStyle w:val=""/>
        <w:ind w:firstLine="643"/>
        <w:spacing w:line="560" w:lineRule="exact"/>
      </w:pPr>
      <w:r>
        <w:rPr>
          <w:b/>
          <w:rFonts w:ascii="楷体_GB2312" w:hAnsi="Times New Roman"/>
          <w:sz w:val="32"/>
        </w:rPr>
        <w:t>测试方法：</w:t>
      </w:r>
      <w:r>
        <w:rPr>
          <w:rFonts w:ascii="Times New Roman" w:hAnsi="Times New Roman"/>
          <w:sz w:val="32"/>
        </w:rPr>
        <w:t xml:space="preserve"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 </w:t>
      </w:r>
    </w:p>
    <w:p>
      <w:pPr>
        <w:pStyle w:val=""/>
        <w:ind w:firstLine="643"/>
        <w:spacing w:line="560" w:lineRule="exact"/>
        <w:rPr>
          <w:rFonts w:ascii="Times New Roman" w:hAnsi="Times New Roman"/>
          <w:sz w:val="32"/>
          <w:szCs w:val="32"/>
        </w:rPr>
      </w:pPr>
      <w:r>
        <w:rPr>
          <w:b/>
          <w:rFonts w:ascii="楷体_GB2312" w:hAnsi="Times New Roman"/>
          <w:sz w:val="32"/>
        </w:rPr>
        <w:t>注意事项：</w:t>
      </w:r>
      <w:r>
        <w:rPr>
          <w:rFonts w:ascii="Times New Roman" w:hAnsi="Times New Roman"/>
          <w:sz w:val="32"/>
        </w:rPr>
        <w:t>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"/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pStyle w:val=""/>
      </w:pPr>
    </w:p>
    <w:sectPr>
      <w:headerReference r:id="rId8" w:type="default"/>
      <w:footerReference r:id="rId9" w:type="even"/>
      <w:footerReference r:id="rId10" w:type="default"/>
      <w:pgNumType w:fmt="arabicAlpha"/>
      <w:pgSz w:w="11906" w:h="16838"/>
      <w:pgMar w:left="1440" w:right="1418" w:top="1418" w:bottom="141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仿宋_GB2312"/>
  <w:font w:name="方正小标宋简体"/>
  <w:font w:name="方正仿宋_GBK"/>
  <w:font w:name="黑体"/>
  <w:font w:name="宋体"/>
  <w:font w:name="楷体_GB2312"/>
  <w:font w:name="方正黑体_GBK"/>
  <w:font w:name="Calibri"/>
  <w:font w:name="Cambria Math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>
      <w:r>
        <w:rPr/>
        <w:t xml:space="preserve"> </w:t>
      </w:r>
    </w:fldSimple>
  </w:p>
  <w:p>
    <w:pPr>
      <w:pStyle w:val="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r>
      <w:rPr>
        <w:noProof/>
      </w:rPr>
      <w:pict>
        <v:shape type="#_x0000_t202" style="position:absolute;mso-wrap-distance-left:0.000000pt;mso-wrap-distance-right:0.000000pt;mso-wrap-distance-top:0.000000pt;mso-wrap-distance-bottom:0.000000pt;margin-left:0.000000in;margin-top:0.000000in;z-index:1;mso-position-horizontal:center;mso-position-horizontal-relative:margin;mso-position-vertical:center;mso-position-vertical-relative:paragraph;height:2.000000in;width:2.000000in" filled="false">
          <v:textbox>
            <w:txbxContent>
              <w:p>
                <w:pPr>
                  <w:pStyle w:val="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"/>
                    <w:sz w:val="28"/>
                    <w:szCs w:val="28"/>
                  </w:rPr>
                  <w:t>- 3 -</w:t>
                </w:r>
              </w:p>
            </w:txbxContent>
          </v:textbox>
        </v:shape>
      </w:pict>
    </w: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character" w:styleId="">
    <w:name w:val="页码"/>
    <w:qFormat/>
    <w:basedOn w:val="默认段落字体"/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