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color w:val="000000"/>
          <w:rFonts w:ascii="Times New Roman" w:hAnsi="Times New Roman"/>
          <w:sz w:val="80"/>
          <w:szCs w:val="80"/>
        </w:rPr>
        <w:t>江苏省</w:t>
      </w:r>
      <w:r>
        <w:rPr>
          <w:color w:val="000000"/>
          <w:rFonts w:ascii="Times New Roman" w:hAnsi="Times New Roman"/>
          <w:sz w:val="80"/>
          <w:szCs w:val="80"/>
        </w:rPr>
        <w:t>20</w:t>
      </w:r>
      <w:r>
        <w:rPr>
          <w:color w:val="000000"/>
          <w:rFonts w:ascii="Times New Roman" w:hAnsi="Times New Roman"/>
          <w:sz w:val="80"/>
          <w:szCs w:val="80"/>
        </w:rPr>
        <w:t>20</w:t>
      </w:r>
      <w:r>
        <w:rPr>
          <w:color w:val="000000"/>
          <w:rFonts w:ascii="Times New Roman" w:hAnsi="Times New Roman"/>
          <w:sz w:val="80"/>
          <w:szCs w:val="80"/>
        </w:rPr>
        <w:t>年</w:t>
      </w:r>
      <w:r>
        <w:rPr>
          <w:color w:val="000000"/>
          <w:rFonts w:ascii="Times New Roman" w:hAnsi="Times New Roman"/>
          <w:sz w:val="80"/>
          <w:szCs w:val="80"/>
        </w:rPr>
        <w:t>度</w:t>
      </w:r>
      <w:r>
        <w:rPr>
          <w:color w:val="000000"/>
          <w:rFonts w:ascii="Times New Roman" w:hAnsi="Times New Roman"/>
          <w:sz w:val="80"/>
          <w:szCs w:val="80"/>
        </w:rPr>
        <w:t>考试录用公务员</w:t>
      </w:r>
    </w:p>
    <w:p>
      <w:pPr>
        <w:pStyle w:val=""/>
        <w:jc w:val="center"/>
      </w:pPr>
      <w:r>
        <w:rPr>
          <w:color w:val="000000"/>
          <w:rFonts w:ascii="Times New Roman" w:hAnsi="Times New Roman"/>
          <w:sz w:val="80"/>
          <w:szCs w:val="80"/>
        </w:rPr>
        <w:t>专业参考目录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8" w:color="000000" w:space="0"/>
          <w:insideV w:val="single" w:sz="8" w:color="000000" w:space="0"/>
        </w:tblBorders>
        <w:jc w:val="center"/>
        <w:tblStyle w:val="普通表格"/>
        <w:tblLook w:val="4A0"/>
        <w:tblW w:w="8980" w:type="dxa"/>
      </w:tblPr>
      <w:tblGrid>
        <w:gridCol w:w="430"/>
        <w:gridCol w:w="1742"/>
        <w:gridCol w:w="2007"/>
        <w:gridCol w:w="2166"/>
        <w:gridCol w:w="2635"/>
      </w:tblGrid>
      <w:tr>
        <w:trPr>
          <w:trHeight w:val="1394" w:hRule="atLeast"/>
        </w:trPr>
        <w:tc>
          <w:tcPr>
            <w:vAlign w:val="center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序号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 xml:space="preserve">  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 xml:space="preserve">   学历层次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 xml:space="preserve">  </w:t>
            </w:r>
          </w:p>
          <w:p>
            <w:pPr>
              <w:pStyle w:val=""/>
              <w:ind w:firstLine="315"/>
            </w:pPr>
            <w:r>
              <w:rPr>
                <w:color w:val="000000"/>
                <w:rFonts w:ascii="黑体"/>
                <w:szCs w:val="21"/>
              </w:rPr>
              <w:t>专业</w:t>
            </w:r>
          </w:p>
          <w:p>
            <w:pPr>
              <w:pStyle w:val=""/>
              <w:rPr>
                <w:color w:val="000000"/>
                <w:rFonts w:ascii="黑体"/>
                <w:szCs w:val="21"/>
              </w:rPr>
            </w:pPr>
          </w:p>
          <w:p>
            <w:pPr>
              <w:pStyle w:val=""/>
            </w:pPr>
            <w:r>
              <w:rPr>
                <w:color w:val="000000"/>
                <w:rFonts w:ascii="黑体"/>
                <w:szCs w:val="21"/>
              </w:rPr>
              <w:t>专业大类</w:t>
            </w:r>
          </w:p>
        </w:tc>
        <w:tc>
          <w:tcPr>
            <w:vAlign w:val="center"/>
            <w:tcW w:w="2007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研究生</w:t>
            </w:r>
          </w:p>
        </w:tc>
        <w:tc>
          <w:tcPr>
            <w:vAlign w:val="center"/>
            <w:tcW w:w="216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本科</w:t>
            </w:r>
          </w:p>
        </w:tc>
        <w:tc>
          <w:tcPr>
            <w:vAlign w:val="center"/>
            <w:tcW w:w="26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专科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中文文秘类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少数民族语言文学（分语族），比较文学与世界文学，新闻学，传播学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，新闻与传播，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史学理论及史学史，考古学及博物馆学，历史地理学，历史文献学（含敦煌学、古文字学），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哲学，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专门史，中国古代史，中国近现代史，世界史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，出版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，学科教学（历史）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学科教学（语文），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中国文学与文化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，中国语言文学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，汉语国际教育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，中国史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，考古学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新闻传播学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，文物与博物馆</w:t>
            </w:r>
          </w:p>
        </w:tc>
        <w:tc>
          <w:tcPr>
            <w:vAlign w:val="top"/>
            <w:tcW w:w="2166" w:type="dxa"/>
          </w:tcPr>
          <w:p>
            <w:pPr>
              <w:pStyle w:val="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广播电视编导，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广播电视新闻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学，广告学，编辑出版学，传播学，媒体创意，广播电视学，网络与新媒体，数字出版，秘书学，历史学，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哲学，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文秘教育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思想政治教育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新媒体与信息网络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戏剧影视文学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播音与主持艺术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网络新闻与传播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艺术类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艺术学，音乐学，舞蹈学，戏剧戏曲学，电影学，广播电视艺术学，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广播电视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美术学，设计艺术学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，艺术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，文物与博物馆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，艺术设计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，戏剧与影视学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，美术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，考古学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，工业设计工程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艺术学理论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，音乐与舞蹈学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color w:val="000000"/>
                <w:rFonts w:ascii="Helvetica" w:hAnsi="Helvetica"/>
                <w:szCs w:val="21"/>
              </w:rPr>
              <w:t>金融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文物鉴赏与修复，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工艺美术，工业设计，视觉传达设计，视觉传达，环境设计，产品设计，服装与服饰设计，影视摄影与制作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，文物与博物馆学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，考古学，博物馆学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播音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与主持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，剪辑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，环境艺术设计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数字媒体艺术设计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法律类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，诉讼法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学，经济法学，环境与资源保护法学，国际法学（含：国际公法、国际私法、国际经济法），军事法学，法学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，法律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法律硕士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法律（法学），法律（非法学）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，法律硕士（法学），法律硕士（非法学）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知识产权法学，国际法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，经济法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，比较法学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法学，知识产权，监狱学，律师，知识产权法，民商法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，法律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，法学（法务会计）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，海商法学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社会政治类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政治学，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马克思主义理论，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史学理论及史学史，考古学及博物馆学，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文物与博物馆，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历史地理学，历史文献学，专门史，中国古代史，中国近现代史，世界史，图书馆学，情报学，档案学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，图书情报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，图书情报与档案管理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，社会工作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，中国史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，考古学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劳动和社会保障，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档案管理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，社会工作与管理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经济类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税务，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金融学（含保险学），产业经济学，国际贸易学，劳动经济学，统计学，数量经济学，国防经济，技术经济及管理，农业经济管理，林业经济管理，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农林经济管理，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渔业经济管理，教育经济与管理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，应用统计，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金融，保险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，资产评估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，国际贸易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，农村与区域发展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，中国少数民族经济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国际商务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，金融学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，理论经济学，应用经济学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，企业管理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工商管理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，工商管理硕士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经济学，国际经济与贸易，财政学，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金融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工商管理，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经济统计学，商务经济学，能源经济，保险学，金融数学，经济与金融，农业经济管理，林业经济管理，农林经济管理，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农村区域发展，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渔业经济管理，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资产评估，现代农业管理，金融管理，国际市场营销，金融保险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，国际贸易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，市场营销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，金融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，统计学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，税收学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，国际商务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电子商务，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工程造价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财务管理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财政，财务管理，税务，金融管理与实务，国际金融，金融与证券，金融保险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，金融与保险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，国际贸易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，经济贸易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公共管理类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管理科学与工程，行政管理，社会医学与卫生事业管理，教育经济与管理，社会保障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，社会工作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图书情报，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人力资源管理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项目管理，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教育领导与管理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，农村与区域发展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，教育管理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，公共管理硕士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，工商管理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，旅游管理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，工商管理硕士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，政治学理论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，企业管理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，工商管理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市场营销，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旅游管理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，社会保障，劳动与社会保障，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劳动和社会保障，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资源环境与城乡规划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，社会工作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，行政管理学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  <w:rPr>
                <w:color w:val="000000"/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社会工作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，旅游管理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工商管理类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管理科学与工程，会计学，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会计，会计硕士，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企业管理（含：财务管理、市场营销，旅游管理，技术经济及管理，人力资源管理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项目管理，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工商管理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 工商管理硕士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，物流工程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，国际商务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工业工程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工程管理，工程造价，工程造价管理，房地产经营管理，产品质量工程，项目管理，工商管理，市场营销，财务管理，人力资源管理，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文化产业管理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市场营销教育，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财务会计教育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，销售管理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，商务管理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，餐饮管理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务与管理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心理健康教育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，高尔夫服务与管理，高尔夫运动技术与管理，建筑工程管理，资产评估，经济与行政管理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，销售管理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，国际商务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商务贸易类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国际贸易学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，国际商务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，国际贸易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，商务管理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，电子商务物流，金融管理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，市场营销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，国际市场营销，金融保险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，国际贸易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，国际贸易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，商务管理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，市场营销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财务财会类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会计学，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财政学（含税收学）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税务，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金融，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金融硕士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，金融学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，审计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财政学，金融学，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学，财务管理，会计信息技术，财务会计与审计，国际会计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，财务会计教育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，法学（法务会计）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审计学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，审计学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（ACCA方向）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金融工程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，保险学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，经济学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，税收学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国际经济与贸易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财政，财务管理，财务信息管理，会计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学，会计电算化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，财务电算化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，会计与统计核算，会计与审计，审计实务，统计实务，会计信息技术，涉外会计，财会，国际会计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，保险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，税务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税务税收类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税务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，税务硕士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税务，财税，税收学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税务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统计类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统计学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，系统理论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，应用统计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应用统计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，概率论与数理统计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统计学，系统理论，系统科学与工程，应用统计学，经济统计学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，经济学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会计与统计核算，统计实务，卫生统计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，卫生统计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学，卫生财会统计，财务会计统计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，财务会计与统计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审计类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审计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审计硕士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审计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学，财务会计与审计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，审计学（ACCA方向）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会计与审计，审计实务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教育类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教育学原理，课程与教学论，教育史，比较教育学，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比较教育史，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学前教育学，小学教育学，高等教育学，成人教育学，职业技术教育学，特殊教育学，教育技术学，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现代教育技术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思想政治教育，基础心理学，发展与教育心理学，应用心理学，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心理学，</w:t>
            </w:r>
            <w:r>
              <w:rPr>
                <w:color w:val="333333"/>
                <w:rFonts w:ascii="Helvetica" w:hAnsi="Helvetica"/>
                <w:szCs w:val="21"/>
              </w:rPr>
              <w:t>心理健康教育</w:t>
            </w:r>
            <w:r>
              <w:rPr>
                <w:color w:val="333333"/>
                <w:rFonts w:ascii="Helvetica" w:hAnsi="Helvetica"/>
                <w:szCs w:val="21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体育人文社会学，运动人体科学，体育教育训练学，民族传统体育学，体育学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，体育教学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教育学，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汉语国际教育，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体育，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应用心理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，学科教学（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分学科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，教育管理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，运动训练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，学前教育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，教育法学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，各类师范专业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教育学，学前教育，特殊教育，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教育技术学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，小学教育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，小学教育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学，艺术教育，人文教育，科学教育，言语听觉科学，华文教育，心理学，应用心理学，心理健康教育，体育教育，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音乐教育，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，汉语国际教育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，思想政治教育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，各类师范专业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心理健康教育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，各类师范专业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外国语言文学类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，学科教学（英语）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，翻译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，英语口译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，英语笔译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日语笔译，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日语口译，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外国语言文学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商务英语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公安类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公安学，公安技术，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警务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警务硕士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，警察科学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刑事技术，消防工程，安全防范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，安全防范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工程，交通管理工程，核生化消防，公安视听技术，治安学，边防管理，火灾勘查，禁毒学，警犬技术，经济犯罪侦查，边防指挥，警卫学，公安情报学，犯罪学，公安管理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，公安管理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学，涉外警务，侦查学，警务指挥与战术，消防指挥，国内安全保卫，抢险救援指挥与技术，网络安全与执法，刑事科学技术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，刑事侦查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信息网络与安全监察，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，司法警务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，劳教管理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应用法制心理技术，罪犯心理测量与矫正技术，司法会计，毒品犯罪矫治，涉毒人员矫治，社区矫正，职务犯罪预防与控制，安全技术与文秘，刑事侦查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，特警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，刑事科学技术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，国内安全保卫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，强制隔离戒毒管理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，刑事侦查技术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，安全防范技术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，司法信息技术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，司法信息安全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监所管理类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监狱学，监所管理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侦查学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监狱管理，劳教管理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，司法警务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罪犯心理测量与矫正技术，毒品犯罪矫治，涉毒人员矫治，监狱信息技术与应用，社区矫正，监所管理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，刑事执行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，强制隔离戒毒管理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，刑事侦查技术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计算机（大类）类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计算机系统结构，计算机应用技术，系统工程，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计算机技术，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计算机科学与技术，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专业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大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类序号为18、19、20的所有专业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电子商务，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计算机及应用，专业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大类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序号为18、19、20的所有专业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专业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大类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序号为18、19、20的所有专业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计算机（软件）类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计算机软件与理论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，软件工程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，计算机科学与技术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计算机软件，软件工程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，计算机应用软件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，信息与计算科学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，信息管理与信息系统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，数字媒体技术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，信息技术应用与管理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计算机科学与技术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19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计算机（网络管理）类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网络工程，物联网工程，信息安全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计算机科学与技术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信息管理与信息系统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电子信息类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电子科学与技术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电子与通信工程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，信息与通信工程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，计算机科学与技术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控制科学与工程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现代教育技术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集成电路工程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，光学工程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，农业信息化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控制理论与控制工程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模式识别与智能系统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，微电子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光电信息科学与技术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，科技防卫，信息安全，信息科学技术，光电子技术科学，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光信息科学与技术，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假肢矫形工程，微电子科学与工程，水声工程，电子封装技术，电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波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传播与天线，数字媒体艺术，光电信息科学与工程，信息管理与信息系统，信息技术应用与管理，会计信息技术，电子工程，电子信息技术，电子信息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，生物医学工程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，自动化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，应用电子技术教育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，教育技术学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，测控技术与仪器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，信息对抗技术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计算机网络技术，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工程设计与管理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信息安全与管理，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会计信息技术，信息技术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，光电技术应用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机电控制类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，控制工程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，电气工程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，控制科学与工程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，农业电气化与自动化，机械电子工程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，仪器科学与技术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仪器仪表工程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电气工程及其自动化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电气工程与自动化，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，电气工程与智能控制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，机械电子工程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，自动化（数控技术）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机械设计制造及其自动化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机电一体化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机械工程类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，控制工程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，控制理论与控制工程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，工业设计工程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，控制科学与工程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，机械工程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农业机械化工程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精密仪器及机械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，动力工程及工程热物理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机械设计制造及自动化，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机械制造及自动化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材料成型及控制工程，工业设计，过程装备与控制工程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，自动化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，机械工程及自动化，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机械工程及其自动化，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车辆工程，机械电子工程，汽车服务工程，制造自动化与测控技术，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测控技术与仪器，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，自动化（数控技术），数控加工与模具设计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工业工程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机械设计与制造，机械制造与自动化，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机械制造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及自动化，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，汽车检测与维修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，汽车运用技术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交通工程类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道路与铁道工程，交通信息工程及控制，交通运输规划与管理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，交通运输工程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，载运工具运用工程，轮机工程，桥梁与隧道工程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，物流工程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，油气储运工程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船舶与海洋工程，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交通管理工程，轨道交通信号与控制，海洋技术，海洋工程与技术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，交通土建工程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，工程造价管理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，工程造价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，土木工程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航道港口类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港口航道与海岸工程，港口海岸及治河工程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航海技术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港口海岸与治河工程，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国际航运业务管理，港口与航运管理，港口机械应用技术，港口物流管理，港口电气技术，航空港安全检查，港口与航道工程技术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船舶工程类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船舶与海洋结构物设计制造，轮机工程，水声工程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船舶与海洋工程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船舶与海洋工程，海洋工程与技</w:t>
            </w:r>
            <w:r>
              <w:rPr>
                <w:color w:val="000000"/>
                <w:sz w:val="18"/>
                <w:szCs w:val="18"/>
              </w:rPr>
              <w:t>术，海洋资源开发技术，海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洋技术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船舶工程技术，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船舶机械工程技术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船舶检验，轮机工程技术，船舶栖装，船机制造与维修，船舶电气工程技术，国际油轮乘务，船舶电子电器技术，游艇设计与制造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，船舶通信与导航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水利工程类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水文学及水资源，水力学及河流动力学，水工结构工程，水利水电工程，港口、海岸及近海工程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，水利工程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，市政工程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，农业水土工程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水利水电工程，水文与水资源工程，水文学及水资源，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水文学与水资源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，地下水科学与工程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港口航道与海岸工程，水资源与海洋工程，农业水利工程，水务工程，给水排水，给水排水工程，给排水工程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，水利水电与港航工程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，给排水科学与工程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城建规划类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城乡规划学，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城市规划与设计（含：风景园林规划与设计），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设计学，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市政工程，建筑历史与理论，建筑设计及其理论，建筑技术科学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，城市规划，风景园林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，风景园林学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，城市与区域规划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，建筑学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，园林植物与观赏园艺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，建筑与土木工程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，土木水利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建筑学，城市规划，景观学，风景园林，园艺，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园林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，城市地下空间工程，景观设计，景观建筑设计，人文地理与城乡规划，城乡规划，资源环境与城乡规划管理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，现代园艺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，环境设计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，历史建筑保护工程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土木工程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，建筑室内设计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28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土地管理类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地图制图学与地理信息工程，土壤学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，地图学与地理信息系统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，自然地理学，人文地理学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地理学，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土地资源管理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资源环境与城乡规划管理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地籍测绘与土地管理信息技术，土地管理与地籍测量，地籍测绘与土地管理，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地籍测量与土地管理，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地籍测量与土地信息学，国土资源管理，国土资源开发与管理，土地规划与利用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 xml:space="preserve">29 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测绘类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大地测量学与测量工程，摄影测量与遥感，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地图学与地理信息系统，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地图制图学与地理信息工程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，测绘工程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，测绘科学与技术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测绘工程，遥感科学与技术，空间科学与数字技术，地理国情监测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，大地测量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，地理信息科学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工程测量技术，工程测量与监理，摄影测量与遥感技术，大地测量与卫星定位技术，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大地测量与GPS定位技术，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地理信息系统与地图制图技术，地籍测绘与土地管理信息技术，矿山测量，测绘与地理信息技术，测绘工程技术，测绘与地质工程技术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建筑工程类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建筑历史与理论，建筑设计及其理论，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城乡规划学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城市规划与设计（含：风景园林规划与设计），建筑技术科学，岩土工程，结构工程，市政工程，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工程力学，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供热、供燃气、通风及空调工程，防灾减灾工程及防护工程，桥梁与隧道工程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，城市规划，风景园林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风景园林学，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建筑学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，建筑与土木工程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，土木工程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土木水利，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，项目管理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建筑学，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建筑工程，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土木工程，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建筑环境与设备工程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环境设计，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给水排水工程，城市地下空间工程，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城市规划，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历史建筑保护工程，景观建筑设计，水务工程，建筑设施智能技术，给排水科学与工程，建筑电气与智能化，景观学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风景园林，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园林，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道路桥梁与渡河工程，工程力学，工程结构分析，建筑环境与能源应用工程，标准化工程，质量管理工程，工业与民用建筑，给水排水，给排水工程，工民建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，工程造价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工程造价管理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建筑室内设计，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材料工程类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材料物理与化学，材料学，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材料加工工程，冶金物理化学，钢铁冶金，有色金属冶金，制浆造纸工程，皮革化学与工程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，高分子化学与物理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，材料工程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矿物加工工程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材料成型及控制工程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金属压力加工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地质矿产类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矿产普查与勘探，地球探测与信息技术，矿物学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、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岩石学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、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矿床学，地球化学，地质工程，古生物学与地层学，构造地质学，第四纪地质学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，地质学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，石油与天然气工程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，矿业工程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，地质资源与地质工程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勘察技术与工程，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勘查技术与工程，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资源勘察工程，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资源勘查工程，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地质矿产勘查，石油与天然气地质勘查，地质工程，地下水科学与工程，地质学，地球化学，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，地球物理学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，地球信息科学与技术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，宝石及材料工艺学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，固体地球物理学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环境地质工程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安全生产类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安全技术及工程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，安全科学与工程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，安全工程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，矿业工程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安全工程，安全防范工程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消防工程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火灾勘查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，雷电防护科学与技术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能源动力类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核能科学与工程，核燃料循环与材料，工程热物理，热能工程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，动力工程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，制冷及低温工程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，流体机械及工程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，动力工程及工程热物理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建筑环境与设备工程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能源经济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核工程与核技术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环境保护类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环境科学，环境工程，生态学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，环境科学与工程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，水土保持与荒漠化防治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，大气物理学与大气环境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气象学，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植物营养学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环境工程，安全工程，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消防工程，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水质科学与技术，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给排水科学与工程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灾害防治工程， 环境科学与工程，环境监察，雷电防护科学与技术，环境科学，生态学，资源环境科学，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资源环境与城乡规划管理，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，应用气象学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化学工程类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化学工程，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无机化学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化学工艺，生物化工，应用化学，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分析化学，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工业催化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，化学工程与技术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有机化学，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高分子化学与物理，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化工过程机械，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过程装备与控制工程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纺织化学与染整工程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专业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大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类序号为37的所有专业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资源科学与工程，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化工与制药，油气加工工程，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矿物加工工程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资源循环科学与工程，能源化学工程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，应用化学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，高分子材料与工程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，轻化工程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，林产化工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材料化学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，特种能源工程与烟火技术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特种能源技术与工程，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，电厂化学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，专业大类序号为37的所有专业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医药化工类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药物化学，微生物与生化药学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，制药工程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制药工程，化工与制药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，化学生物学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，药物化学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，中药制药，生物制药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药物制剂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，应用化学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生化制药技术，化学制药技术，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生物制药技术，中药制药技术，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药物制剂技术，药物分析技术，食品药品监督管理，药品质量检测技术，药品经营与管理，保健品开发与管理，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健康管理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技术监督与商检，生化分析检测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食品工程类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，食品加工与安全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，食品工程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，食品科学与工程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，食品安全与品控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，营养学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，食品安全与检测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39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生物工程类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植物学，动物学，生理学，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生物学，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生物化工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生物学，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发酵工程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，化学生物学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，海洋资源开发技术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，生态学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轻工纺织类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，纺织科学与工程，轻工技术与工程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服装设计与工艺教育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服装设计与工艺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41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农业类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农业，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，作物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，果树学，蔬菜学，茶学，土壤学，植物营养学，植物病理学，农业昆虫与害虫防治，农药学，农业经济管理，林业经济管理，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农林经济管理，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渔业经济管理，渔业资源与渔政管理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，渔业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水产养殖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植物资源工程，植物学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植物保护，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农业推广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，农业科技组织与服务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，作物安全生产与质量管理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，农业资源利用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资源利用与植物保护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农村与区域发展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农村发展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园林植物与观赏园艺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园艺学，草学，作物学，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农业工程与信息技术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农业机械化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生物工程，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农学，园艺，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林学，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，现代园艺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园林，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农艺教育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42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林业类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风景园林学，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水土保持与荒漠化防治，林业经济管理，植物资源工程，土壤学，植物营养学，植物病理学，植物学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，林业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，林业工程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，园艺，园艺学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森林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工程，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木材科学与工程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，林业生态环境工程与管理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，现代园艺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，水土保持与荒漠化防治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，草业科学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，风景园林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风景园林设计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43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畜牧养殖类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动物遗传育种与繁殖，动物营养与饲料科学，特种经济动物饲养（含：蚕、蜂等），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基础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兽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医学，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预防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兽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医学，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临床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兽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医学，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水产，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水产养殖，捕捞学，渔业资源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，渔业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，动物学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，兽医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兽医学，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养殖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，畜牧学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动物科学，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动物生产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类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蚕学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，草业科学，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蜂学，水产养殖学，海洋渔业科学与技术，水族科学与技术，动物医学，动物药学，动植物检疫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，海洋技术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实验动物技术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44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医学类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人体解剖与组织胚胎学，免疫学，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遗传学，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，临床医学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，口腔医学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，护理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，涉外护理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，涉外护理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，预防医学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45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公共卫生类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，公共卫生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公共卫生与预防医学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，社会医学与卫生事业管理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预防医学，基础医学，卫生检验，卫生检验与检疫，食品卫生与营养学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全球健康学，卫生事业管理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，药事管理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，营养学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,护理学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卫生监督，卫生信息管理，公共卫生管理，卫生检验与检疫技术，医学文秘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，预防医学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健康管理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46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药学类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药物化学，药剂学，生药学，药物分析学，微生物与生化药学，药理学，中药学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，制药工程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，生物制药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，制药工程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47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基础理学类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地理学，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，数学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，生物学，系统科学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农药学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，生物工程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数学与应用数学，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数学及应用数学，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信息与计算科学，数理基础科学，物理学，应用物理学，声学，核物理，化学，应用化学，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材料化学，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测控技术与仪器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应用心理学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48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兵工宇航类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，航空宇航科学与技术，兵器科学与技术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，核科学与技术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兵器工程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,工程力学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导航工程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，导弹维修</w:t>
            </w: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49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仪表仪器及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测试技术类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精密仪器及机械，测试计量技术及仪器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，仪器科学与技术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，仪器仪表工程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</w:p>
        </w:tc>
      </w:tr>
      <w:tr>
        <w:tc>
          <w:tcPr>
            <w:vAlign w:val="top"/>
            <w:tcW w:w="4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50</w:t>
            </w:r>
          </w:p>
        </w:tc>
        <w:tc>
          <w:tcPr>
            <w:vAlign w:val="top"/>
            <w:tcW w:w="1742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/>
                <w:szCs w:val="21"/>
              </w:rPr>
              <w:t>军事学类</w:t>
            </w:r>
          </w:p>
        </w:tc>
        <w:tc>
          <w:tcPr>
            <w:vAlign w:val="top"/>
            <w:tcW w:w="2007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，军事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，军事训练学，军事，战略学，军事思想及军事历史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，军制学，战役学，战术学，军队指挥学</w:t>
            </w:r>
          </w:p>
        </w:tc>
        <w:tc>
          <w:tcPr>
            <w:vAlign w:val="top"/>
            <w:tcW w:w="2166" w:type="dxa"/>
          </w:tcPr>
          <w:p>
            <w:pPr>
              <w:pStyle w:val=""/>
              <w:jc w:val="left"/>
            </w:pPr>
          </w:p>
        </w:tc>
        <w:tc>
          <w:tcPr>
            <w:vAlign w:val="top"/>
            <w:tcW w:w="2635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  <w:rPr>
          <w:color w:val="000000"/>
          <w:rFonts w:ascii="黑体" w:hAnsi="黑体"/>
          <w:sz w:val="24"/>
          <w:szCs w:val="24"/>
        </w:rPr>
      </w:pPr>
    </w:p>
    <w:p>
      <w:pPr>
        <w:pStyle w:val=""/>
        <w:rPr>
          <w:color w:val="000000"/>
        </w:rPr>
      </w:pPr>
    </w:p>
    <w:sectPr>
      <w:footerReference r:id="rId8" w:type="default"/>
      <w:pgSz w:w="11906" w:h="16838"/>
      <w:pgMar w:left="1531" w:right="1531" w:top="1701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黑体"/>
  <w:font w:name="宋体"/>
  <w:font w:name="Helvetica"/>
  <w:font w:name="Calibri"/>
  <w:font w:name="方正小标宋_GBK"/>
  <w:font w:name="仿宋_GB2312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宋体" w:hAnsi="宋体"/>
        <w:sz w:val="28"/>
        <w:szCs w:val="28"/>
      </w:rPr>
    </w:pPr>
    <w:r>
      <w:rPr>
        <w:rStyle w:val=""/>
        <w:rFonts w:ascii="宋体" w:hAnsi="宋体"/>
        <w:sz w:val="28"/>
        <w:szCs w:val="28"/>
      </w:rPr>
      <w:t xml:space="preserve">— </w:t>
    </w:r>
    <w:fldSimple w:instr=" PAGE  \* MERGEFORMAT ">
      <w:r>
        <w:rPr>
          <w:rStyle w:val=""/>
          <w:rFonts w:ascii="宋体" w:hAnsi="宋体"/>
          <w:sz w:val="28"/>
          <w:szCs w:val="28"/>
        </w:rPr>
        <w:t>5</w:t>
      </w:r>
    </w:fldSimple>
    <w:r>
      <w:rPr>
        <w:rStyle w:val=""/>
        <w:rFonts w:ascii="宋体" w:hAnsi="宋体"/>
        <w:sz w:val="28"/>
        <w:szCs w:val="28"/>
      </w:rPr>
      <w:t xml:space="preserve"> —</w:t>
    </w:r>
  </w:p>
  <w:p>
    <w:pPr>
      <w:pStyle w:val="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3">
    <w:name w:val="教育部3"/>
    <w:qFormat/>
    <w:basedOn w:val="正文"/>
    <w:pPr>
      <w:jc w:val="center"/>
      <w:spacing w:line="440" w:lineRule="exact"/>
    </w:pPr>
    <w:rPr>
      <w:rFonts w:ascii="方正小标宋_GBK" w:hAnsi="Times New Roman"/>
      <w:sz w:val="32"/>
      <w:szCs w:val="21"/>
    </w:rPr>
  </w:style>
  <w:style w:type="character" w:styleId="">
    <w:name w:val="超链接"/>
    <w:qFormat/>
    <w:rPr>
      <w:strike/>
      <w:dstrike/>
      <w:color w:val="056BC9"/>
    </w:rPr>
  </w:style>
  <w:style w:type="character" w:styleId="">
    <w:name w:val="批注引用"/>
    <w:qFormat/>
    <w:rPr>
      <w:sz w:val="21"/>
      <w:szCs w:val="21"/>
    </w:rPr>
  </w:style>
  <w:style w:type="paragraph" w:styleId="">
    <w:name w:val="批注文字"/>
    <w:qFormat/>
    <w:basedOn w:val="正文"/>
    <w:pPr>
      <w:jc w:val="left"/>
    </w:pPr>
    <w:rPr/>
  </w:style>
  <w:style w:type="character" w:styleId="Char">
    <w:name w:val="批注文字 Char"/>
    <w:qFormat/>
    <w:rPr>
      <w:rFonts w:ascii="Calibri" w:hAnsi="Calibri"/>
      <w:sz w:val="21"/>
      <w:szCs w:val="22"/>
    </w:rPr>
  </w:style>
  <w:style w:type="paragraph" w:styleId="">
    <w:name w:val="批注主题"/>
    <w:qFormat/>
    <w:basedOn w:val="批注文字"/>
    <w:pPr/>
    <w:rPr>
      <w:b/>
    </w:rPr>
  </w:style>
  <w:style w:type="character" w:styleId="Char">
    <w:name w:val="批注主题 Char"/>
    <w:qFormat/>
    <w:rPr>
      <w:b/>
      <w:rFonts w:ascii="Calibri" w:hAnsi="Calibri"/>
      <w:sz w:val="21"/>
      <w:szCs w:val="22"/>
    </w:rPr>
  </w:style>
  <w:style w:type="paragraph" w:styleId="New">
    <w:name w:val="正文 New"/>
    <w:qFormat/>
    <w:pPr>
      <w:jc w:val="both"/>
    </w:pPr>
    <w:rPr>
      <w:sz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