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962B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30"/>
          <w:szCs w:val="30"/>
          <w:bdr w:val="none" w:color="auto" w:sz="0" w:space="0"/>
        </w:rPr>
        <w:t>广州市黄埔区住房和城乡建设局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30"/>
          <w:szCs w:val="30"/>
          <w:bdr w:val="none" w:color="auto" w:sz="0" w:space="0"/>
        </w:rPr>
        <w:t>广州开发区建设和交通局拟聘人员公示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03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902"/>
        <w:gridCol w:w="751"/>
        <w:gridCol w:w="839"/>
        <w:gridCol w:w="3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姓  名</w:t>
            </w:r>
          </w:p>
        </w:tc>
        <w:tc>
          <w:tcPr>
            <w:tcW w:w="9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3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拟聘岗位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张晓漫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建筑学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广州市黄埔区住房和城乡建设局 广州开发区建设和交通局 高级雇员（三级雇员）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154B1"/>
    <w:rsid w:val="21B15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2021-02-03T01:38:00Z</dcterms:created>
  <dc:creator>WPS_1609033458</dc:creator>
  <cp:lastModifiedBy>WPS_1609033458</cp:lastModifiedBy>
  <dcterms:modified xsi:type="dcterms:W3CDTF">2021-02-03T01:39:04Z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