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73737"/>
          <w:spacing w:val="0"/>
          <w:sz w:val="16"/>
          <w:szCs w:val="16"/>
          <w:shd w:val="clear" w:fill="FFFFFF"/>
        </w:rPr>
        <w:t>陈宗华等九人已具备正高级职称，刘坚等11人已具备副高级职称。其中，我区企业国电联合动力技术（连云港）有限公司何明获评正高级工程师；江苏四季沐歌有限公司李骏获评正高级经济师；江苏恒瑞医药股份有限公司刘坚获批高级工程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04C56"/>
    <w:rsid w:val="31A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2021-02-02T03:02:00Z</dcterms:created>
  <dc:creator>ぺ灬cc果冻ル</dc:creator>
  <cp:lastModifiedBy>ぺ灬cc果冻ル</cp:lastModifiedBy>
  <dcterms:modified xsi:type="dcterms:W3CDTF">2021-02-02T03:02:58Z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