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21" w:tblpY="683"/>
        <w:tblOverlap w:val="never"/>
        <w:tblW w:w="151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"/>
        <w:gridCol w:w="1145"/>
        <w:gridCol w:w="1348"/>
        <w:gridCol w:w="1158"/>
        <w:gridCol w:w="1084"/>
        <w:gridCol w:w="755"/>
        <w:gridCol w:w="775"/>
        <w:gridCol w:w="1012"/>
        <w:gridCol w:w="1463"/>
        <w:gridCol w:w="2600"/>
        <w:gridCol w:w="1340"/>
        <w:gridCol w:w="884"/>
        <w:gridCol w:w="1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</w:trPr>
        <w:tc>
          <w:tcPr>
            <w:tcW w:w="15140" w:type="dxa"/>
            <w:gridSpan w:val="13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eastAsia="方正小标宋简体"/>
                <w:sz w:val="36"/>
                <w:szCs w:val="36"/>
              </w:rPr>
              <w:t>四川长征干部学院雅安夹金山分院2021年公开</w:t>
            </w:r>
            <w:r>
              <w:rPr>
                <w:rFonts w:hint="eastAsia" w:ascii="Times New Roman" w:hAnsi="Times New Roman" w:eastAsia="方正小标宋简体"/>
                <w:sz w:val="36"/>
                <w:szCs w:val="36"/>
              </w:rPr>
              <w:t>考调</w:t>
            </w:r>
            <w:r>
              <w:rPr>
                <w:rFonts w:ascii="Times New Roman" w:hAnsi="Times New Roman" w:eastAsia="方正小标宋简体"/>
                <w:sz w:val="36"/>
                <w:szCs w:val="36"/>
              </w:rPr>
              <w:t>事业单位工作人员职位表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考调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考调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岗位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（管理/技术）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经费性质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（全额/差额）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考调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编制使用</w:t>
            </w:r>
          </w:p>
        </w:tc>
        <w:tc>
          <w:tcPr>
            <w:tcW w:w="6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考调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空编数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使用单位空编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雅安市委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四川长征干部学院雅安夹金山分院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本科及以上学历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，学士及以上学位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本科：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政治学类、哲学类、马克思主义理论类、经济学类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（学科门类）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、历史学类、管理学类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；研究生：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政治学类、哲学类、马克思主义理论类、经济学类、历史学类、管理学类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具有中级及以上职称人员年龄可放宽到40周岁及以下。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雅安市委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四川长征干部学院雅安夹金山分院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管理九级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本科及以上学历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，学士及以上学位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D31"/>
    <w:rsid w:val="00653D31"/>
    <w:rsid w:val="00882A75"/>
    <w:rsid w:val="093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2021-01-28T09:46:00Z</dcterms:created>
  <dc:creator>Administrator</dc:creator>
  <cp:lastModifiedBy>ぺ灬cc果冻ル</cp:lastModifiedBy>
  <dcterms:modified xsi:type="dcterms:W3CDTF">2021-02-02T08:27:52Z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