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550"/>
        <w:tblOverlap w:val="never"/>
        <w:tblW w:w="98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256"/>
        <w:gridCol w:w="200"/>
        <w:gridCol w:w="461"/>
        <w:gridCol w:w="406"/>
        <w:gridCol w:w="382"/>
        <w:gridCol w:w="456"/>
        <w:gridCol w:w="456"/>
        <w:gridCol w:w="841"/>
        <w:gridCol w:w="878"/>
        <w:gridCol w:w="1206"/>
        <w:gridCol w:w="1206"/>
        <w:gridCol w:w="222"/>
        <w:gridCol w:w="321"/>
        <w:gridCol w:w="907"/>
        <w:gridCol w:w="349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eastAsia="华文中宋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eastAsia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36"/>
                <w:szCs w:val="36"/>
              </w:rPr>
              <w:t>2021年深圳市坪山区人民法院面向市外公开选调公务员职位表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华文中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选调单位</w:t>
            </w: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职位类别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选调职位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最高年龄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坪山法院</w:t>
            </w: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法官类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员额法官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法学类（B0301）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法学（A0301）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本科须为全日制；入额时间3年以上；法官等级为四级以上一级以下（含本数）；持有法律职业资格考试（国家司法考试）A类证书。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6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wave</dc:creator>
  <cp:lastModifiedBy>波潮</cp:lastModifiedBy>
  <dcterms:modified xsi:type="dcterms:W3CDTF">2021-01-15T11:26:13Z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2052-11.1.0.10220</vt:lpwstr>
  </property>
</Properties>
</file>