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Helvetica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spacing w:before="75" w:beforeAutospacing="0" w:after="75" w:afterAutospacing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鹰潭市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信江新区智城国有控股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集团有限公司公开招聘</w:t>
      </w:r>
    </w:p>
    <w:p>
      <w:pPr>
        <w:pStyle w:val="2"/>
        <w:spacing w:before="75" w:beforeAutospacing="0" w:after="75" w:afterAutospacing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人员报名登记表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066"/>
        <w:gridCol w:w="165"/>
        <w:gridCol w:w="690"/>
        <w:gridCol w:w="720"/>
        <w:gridCol w:w="300"/>
        <w:gridCol w:w="1096"/>
        <w:gridCol w:w="946"/>
        <w:gridCol w:w="991"/>
        <w:gridCol w:w="390"/>
        <w:gridCol w:w="1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黑体"/>
              </w:rPr>
              <w:t>姓名</w:t>
            </w:r>
          </w:p>
        </w:tc>
        <w:tc>
          <w:tcPr>
            <w:tcW w:w="2941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</w:tcPr>
          <w:p>
            <w:pPr>
              <w:pStyle w:val="2"/>
              <w:spacing w:before="75" w:beforeAutospacing="0" w:after="75" w:afterAutospacing="0" w:line="23" w:lineRule="atLeast"/>
              <w:ind w:hanging="2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出出生年月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婚姻状况</w:t>
            </w: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面貌</w:t>
            </w:r>
          </w:p>
        </w:tc>
        <w:tc>
          <w:tcPr>
            <w:tcW w:w="14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户口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所在地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毕业时间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参加工作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健康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专业技术资格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电话及邮箱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邮编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最高学历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毕业院校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现工作单位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个人专长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奖惩情况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家庭主要成员及重要社会关系</w:t>
            </w: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称谓</w:t>
            </w: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姓名</w:t>
            </w: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年龄</w:t>
            </w: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spacing w:before="75" w:beforeAutospacing="0" w:after="75" w:afterAutospacing="0" w:line="23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报考承诺人（签名）：</w:t>
            </w:r>
          </w:p>
        </w:tc>
      </w:tr>
    </w:tbl>
    <w:p>
      <w:pPr>
        <w:pStyle w:val="2"/>
        <w:spacing w:before="75" w:beforeAutospacing="0" w:after="75" w:afterAutospacing="0"/>
        <w:rPr>
          <w:rFonts w:ascii="仿宋" w:hAnsi="仿宋" w:eastAsia="仿宋" w:cs="Tahoma"/>
          <w:color w:val="000000"/>
          <w:sz w:val="18"/>
          <w:szCs w:val="18"/>
        </w:rPr>
      </w:pPr>
      <w:r>
        <w:rPr>
          <w:rFonts w:eastAsia="仿宋" w:cs="Tahoma" w:asciiTheme="minorEastAsia" w:hAnsiTheme="minorEastAsia"/>
          <w:color w:val="000000"/>
        </w:rPr>
        <w:t> </w:t>
      </w:r>
    </w:p>
    <w:p>
      <w:pPr>
        <w:spacing w:line="220" w:lineRule="atLeast"/>
      </w:pPr>
      <w:r>
        <w:rPr>
          <w:rFonts w:hint="eastAsia" w:ascii="仿宋" w:hAnsi="仿宋" w:eastAsia="仿宋"/>
          <w:color w:val="000000"/>
        </w:rPr>
        <w:t>注：栏目中无相关内容的填</w:t>
      </w:r>
      <w:r>
        <w:rPr>
          <w:rFonts w:ascii="仿宋" w:hAnsi="仿宋" w:eastAsia="仿宋" w:cs="Tahoma"/>
          <w:color w:val="000000"/>
        </w:rPr>
        <w:t>“</w:t>
      </w:r>
      <w:r>
        <w:rPr>
          <w:rFonts w:hint="eastAsia" w:ascii="仿宋" w:hAnsi="仿宋" w:eastAsia="仿宋"/>
          <w:color w:val="000000"/>
        </w:rPr>
        <w:t>无</w:t>
      </w:r>
      <w:r>
        <w:rPr>
          <w:rFonts w:ascii="仿宋" w:hAnsi="仿宋" w:eastAsia="仿宋" w:cs="Tahoma"/>
          <w:color w:val="000000"/>
        </w:rPr>
        <w:t>”</w:t>
      </w:r>
      <w:r>
        <w:rPr>
          <w:rFonts w:hint="eastAsia" w:ascii="仿宋" w:hAnsi="仿宋" w:eastAsia="仿宋"/>
          <w:color w:val="00000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B15E7"/>
    <w:rsid w:val="003D37D8"/>
    <w:rsid w:val="00426133"/>
    <w:rsid w:val="004358AB"/>
    <w:rsid w:val="00454F34"/>
    <w:rsid w:val="008B7726"/>
    <w:rsid w:val="00D31D50"/>
    <w:rsid w:val="00EC4DC8"/>
    <w:rsid w:val="00F03526"/>
    <w:rsid w:val="0E990D21"/>
    <w:rsid w:val="322A6839"/>
    <w:rsid w:val="689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2021-01-11T08:36:48Z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