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渝水区202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>年面向区外选调工作人员业绩量化评分标准及考生需提交的材料</w:t>
      </w:r>
    </w:p>
    <w:p>
      <w:pPr>
        <w:spacing w:line="560" w:lineRule="exact"/>
        <w:ind w:firstLine="880" w:firstLineChars="200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</w:rPr>
        <w:t xml:space="preserve">                          </w:t>
      </w:r>
    </w:p>
    <w:tbl>
      <w:tblPr>
        <w:tblStyle w:val="5"/>
        <w:tblW w:w="102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11"/>
        <w:gridCol w:w="4473"/>
        <w:gridCol w:w="1236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项目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分值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评分标准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评分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需提供的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  <w:color w:val="auto"/>
                <w:sz w:val="24"/>
                <w:u w:val="none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u w:val="none"/>
              </w:rPr>
              <w:t>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  <w:t>学历学位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default" w:ascii="仿宋_GB2312" w:eastAsia="仿宋_GB2312"/>
                <w:color w:val="auto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获硕士研究生学历或硕士学位的加0.5分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获硕士研究生学历且获相应学位的加1分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；全日制硕士及以上学历学位研究生加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3分。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各分类不重复加分。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毕业证、学位证（查验原件、提交复印件）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  <w:t>履职业绩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此项仅针对乡镇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文秘人员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满分10分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近五年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以来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(201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年及以后)，在市级主流媒体发表署名文章的加1分/篇，在省部级主流媒体发表署名文章的加2分/篇，在中央级主流媒体发表署名文章的加3分/篇；各系统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署名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信息、简讯被中央、省市对口部门采用的，市级加0.5分/篇，省级加1分/篇，中央级加1.5分/篇。</w:t>
            </w:r>
          </w:p>
          <w:p>
            <w:pPr>
              <w:spacing w:line="260" w:lineRule="exact"/>
              <w:ind w:firstLine="480" w:firstLineChars="0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同一文章取最高奖励。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vMerge w:val="restart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相关文章须为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署名文章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，并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提供完整刊物为依据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。</w:t>
            </w:r>
          </w:p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职称资格证（查验原件、提交复印件）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此项仅针对乡镇财政所人员，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满分10分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近五年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以来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(201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年及以后)，发表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财税业务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相关调研文章的，参照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文秘人员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加分项进行加分；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取得中级以上会计师资格的，加 5分。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此项仅针对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工业领域人员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，满分10分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近五年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以来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(201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年及以后)，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以第一署名人在工业领域相关期刊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发表文章的，参照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文秘人员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加分项进行加分；</w:t>
            </w:r>
          </w:p>
          <w:p>
            <w:pPr>
              <w:spacing w:line="260" w:lineRule="exact"/>
              <w:ind w:firstLine="480" w:firstLineChars="0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取得中级以上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职称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的，加 5分。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  <w:t>年度考核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近3年年度考核每有一次优秀加1分，连续3年优秀加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分。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年度考核登记表复印件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  <w:t>表彰奖励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分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近五年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eastAsia="zh-CN"/>
              </w:rPr>
              <w:t>以来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(201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年及以后)，个人获党中央、国务院表彰的加3分，获国家部委、省委、省政府表彰的加2分，获省直部门、市委、市政府表彰的加1分，获市直部门、县委、县政府表彰的加0.5分。</w:t>
            </w:r>
          </w:p>
          <w:p>
            <w:pPr>
              <w:spacing w:line="260" w:lineRule="exact"/>
              <w:ind w:firstLine="480" w:firstLineChars="2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因同一事项获多个表彰的，按最高表彰计分。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 xml:space="preserve">个人获得表彰、奖励的，需提供相应的证书或文件。（查验原件、提交复印件）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u w:val="none"/>
              </w:rPr>
              <w:t>总  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u w:val="none"/>
              </w:rPr>
              <w:t>满分20分</w:t>
            </w:r>
          </w:p>
        </w:tc>
        <w:tc>
          <w:tcPr>
            <w:tcW w:w="7713" w:type="dxa"/>
            <w:gridSpan w:val="3"/>
            <w:noWrap w:val="0"/>
            <w:vAlign w:val="center"/>
          </w:tcPr>
          <w:p>
            <w:pPr>
              <w:spacing w:line="280" w:lineRule="exact"/>
              <w:ind w:firstLine="240" w:firstLineChars="100"/>
              <w:rPr>
                <w:rFonts w:hint="eastAsia" w:ascii="仿宋_GB2312" w:eastAsia="仿宋_GB2312"/>
                <w:color w:val="auto"/>
                <w:sz w:val="24"/>
                <w:u w:val="none"/>
              </w:rPr>
            </w:pPr>
          </w:p>
        </w:tc>
      </w:tr>
    </w:tbl>
    <w:p>
      <w:pPr>
        <w:spacing w:line="560" w:lineRule="exact"/>
      </w:pPr>
      <w:r>
        <w:rPr>
          <w:rFonts w:hint="eastAsia" w:ascii="仿宋_GB2312" w:eastAsia="仿宋_GB2312"/>
          <w:color w:val="auto"/>
          <w:sz w:val="30"/>
          <w:szCs w:val="30"/>
          <w:u w:val="none"/>
        </w:rPr>
        <w:t>考生签名：                   填报日期：</w:t>
      </w:r>
      <w:bookmarkStart w:id="0" w:name="_GoBack"/>
      <w:bookmarkEnd w:id="0"/>
    </w:p>
    <w:sectPr>
      <w:footerReference r:id="rId3" w:type="default"/>
      <w:pgSz w:w="11907" w:h="16840"/>
      <w:pgMar w:top="1417" w:right="1418" w:bottom="141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4vdRNAAAAACAQAADwAAAAAAAAABACAAAAAiAAAAZHJzL2Rvd25yZXYueG1sUEsBAhQAFAAAAAgA&#10;h07iQPIovgu7AQAAUQMAAA4AAAAAAAAAAQAgAAAAH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PlfknQAAAAAwEAAA8AAAAAAAAAAQAgAAAAIgAAAGRycy9kb3ducmV2LnhtbFBLAQIUABQAAAAI&#10;AIdO4kBUdBXTvAEAAFI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289E"/>
    <w:rsid w:val="09343CE7"/>
    <w:rsid w:val="1F844B01"/>
    <w:rsid w:val="225B4F89"/>
    <w:rsid w:val="34B10E23"/>
    <w:rsid w:val="3D9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afterAutospacing="0" w:line="600" w:lineRule="exac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2021-01-05T02:40:00Z</dcterms:created>
  <dc:creator>Administrator</dc:creator>
  <cp:lastModifiedBy>Administrator</cp:lastModifiedBy>
  <dcterms:modified xsi:type="dcterms:W3CDTF">2021-01-05T02:46:27Z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