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spacing w:line="560" w:lineRule="exact"/>
        <w:rPr>
          <w:b/>
          <w:color w:val="000000"/>
          <w:rFonts w:ascii="仿宋_GB2312" w:hAnsi="仿宋_GB2312"/>
          <w:sz w:val="48"/>
          <w:szCs w:val="48"/>
        </w:rPr>
      </w:pPr>
    </w:p>
    <w:p>
      <w:pPr>
        <w:pStyle w:val=""/>
        <w:jc w:val="center"/>
        <w:spacing w:line="560" w:lineRule="exact"/>
        <w:rPr>
          <w:b/>
          <w:color w:val="000000"/>
          <w:rFonts w:ascii="仿宋_GB2312" w:hAnsi="仿宋_GB2312"/>
          <w:sz w:val="36"/>
          <w:szCs w:val="36"/>
        </w:rPr>
      </w:pPr>
      <w:r>
        <w:rPr>
          <w:b/>
          <w:color w:val="000000"/>
          <w:rFonts w:ascii="仿宋_GB2312" w:hAnsi="仿宋_GB2312"/>
          <w:sz w:val="36"/>
          <w:szCs w:val="36"/>
        </w:rPr>
        <w:t>细河</w:t>
      </w:r>
      <w:r>
        <w:rPr>
          <w:b/>
          <w:color w:val="000000"/>
          <w:rFonts w:ascii="仿宋_GB2312" w:hAnsi="仿宋_GB2312"/>
          <w:sz w:val="36"/>
          <w:szCs w:val="36"/>
        </w:rPr>
        <w:t>公安</w:t>
      </w:r>
      <w:r>
        <w:rPr>
          <w:b/>
          <w:color w:val="000000"/>
          <w:rFonts w:ascii="仿宋_GB2312" w:hAnsi="仿宋_GB2312"/>
          <w:sz w:val="36"/>
          <w:szCs w:val="36"/>
        </w:rPr>
        <w:t>分</w:t>
      </w:r>
      <w:r>
        <w:rPr>
          <w:b/>
          <w:color w:val="000000"/>
          <w:rFonts w:ascii="仿宋_GB2312" w:hAnsi="仿宋_GB2312"/>
          <w:sz w:val="36"/>
          <w:szCs w:val="36"/>
        </w:rPr>
        <w:t>局202</w:t>
      </w:r>
      <w:r>
        <w:rPr>
          <w:b/>
          <w:color w:val="000000"/>
          <w:rFonts w:ascii="仿宋_GB2312" w:hAnsi="仿宋_GB2312"/>
          <w:sz w:val="36"/>
          <w:szCs w:val="36"/>
        </w:rPr>
        <w:t>1</w:t>
      </w:r>
      <w:r>
        <w:rPr>
          <w:b/>
          <w:color w:val="000000"/>
          <w:rFonts w:ascii="仿宋_GB2312" w:hAnsi="仿宋_GB2312"/>
          <w:sz w:val="36"/>
          <w:szCs w:val="36"/>
        </w:rPr>
        <w:t>年面向社会公开招聘 警务辅助人员疫情防控注意事项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请广大考生知悉并遵守我省疫情防控要求，做好自我健康管理，参加</w:t>
      </w:r>
      <w:r>
        <w:rPr>
          <w:color w:val="000000"/>
          <w:rFonts w:ascii="仿宋_GB2312" w:hAnsi="仿宋_GB2312"/>
          <w:sz w:val="32"/>
          <w:szCs w:val="32"/>
        </w:rPr>
        <w:t>考试</w:t>
      </w:r>
      <w:r>
        <w:rPr>
          <w:color w:val="000000"/>
          <w:rFonts w:ascii="仿宋_GB2312" w:hAnsi="仿宋_GB2312"/>
          <w:sz w:val="32"/>
          <w:szCs w:val="32"/>
        </w:rPr>
        <w:t>时积极配合考点疫情防控工作，至少提前半小时到考场，以免影响考试。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（一）考生应于考前14天起，每日自觉进行体温测量，填写《</w:t>
      </w:r>
      <w:r>
        <w:rPr>
          <w:color w:val="000000"/>
          <w:rFonts w:ascii="仿宋_GB2312" w:hAnsi="仿宋_GB2312"/>
          <w:sz w:val="32"/>
          <w:szCs w:val="32"/>
        </w:rPr>
        <w:t>细河</w:t>
      </w:r>
      <w:r>
        <w:rPr>
          <w:color w:val="000000"/>
          <w:rFonts w:ascii="仿宋_GB2312" w:hAnsi="仿宋_GB2312"/>
          <w:sz w:val="32"/>
          <w:szCs w:val="32"/>
        </w:rPr>
        <w:t>公安</w:t>
      </w:r>
      <w:r>
        <w:rPr>
          <w:color w:val="000000"/>
          <w:rFonts w:ascii="仿宋_GB2312" w:hAnsi="仿宋_GB2312"/>
          <w:sz w:val="32"/>
          <w:szCs w:val="32"/>
        </w:rPr>
        <w:t>分</w:t>
      </w:r>
      <w:r>
        <w:rPr>
          <w:color w:val="000000"/>
          <w:rFonts w:ascii="仿宋_GB2312" w:hAnsi="仿宋_GB2312"/>
          <w:sz w:val="32"/>
          <w:szCs w:val="32"/>
        </w:rPr>
        <w:t>局2020年面向社会公开招聘警务辅助人员考生体温监测登记表》，记录及监测健康状况。如实申报个人14天内中高风险地区旅居史和个人健康状况，承诺知悉我省疫情防控要求并遵守防疫规定。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（二）考生进入</w:t>
      </w:r>
      <w:r>
        <w:rPr>
          <w:color w:val="000000"/>
          <w:rFonts w:ascii="仿宋_GB2312" w:hAnsi="仿宋_GB2312"/>
          <w:sz w:val="32"/>
          <w:szCs w:val="32"/>
        </w:rPr>
        <w:t>考点</w:t>
      </w:r>
      <w:r>
        <w:rPr>
          <w:color w:val="000000"/>
          <w:rFonts w:ascii="仿宋_GB2312" w:hAnsi="仿宋_GB2312"/>
          <w:sz w:val="32"/>
          <w:szCs w:val="32"/>
        </w:rPr>
        <w:t>，应当主动出示身份证、准考证、手机健</w:t>
      </w:r>
      <w:r>
        <w:rPr>
          <w:color w:val="000000"/>
          <w:rFonts w:ascii="仿宋_GB2312" w:hAnsi="仿宋_GB2312"/>
          <w:sz w:val="32"/>
          <w:szCs w:val="32"/>
        </w:rPr>
        <w:t>康码绿码或</w:t>
      </w:r>
      <w:r>
        <w:rPr>
          <w:color w:val="000000"/>
          <w:rFonts w:ascii="仿宋_GB2312" w:hAnsi="仿宋_GB2312"/>
          <w:sz w:val="32"/>
          <w:szCs w:val="32"/>
        </w:rPr>
        <w:t>考试</w:t>
      </w:r>
      <w:r>
        <w:rPr>
          <w:color w:val="000000"/>
          <w:rFonts w:ascii="仿宋_GB2312" w:hAnsi="仿宋_GB2312"/>
          <w:sz w:val="32"/>
          <w:szCs w:val="32"/>
        </w:rPr>
        <w:t>前7天内核酸检测阴性证明，无法提供健康码绿码或考前7天内核酸检测阴性证明的，不得进入考场。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（三）所有考生必须按要求主动接受体温测量，经现场卫生专业人员确认有可疑症状的（体温37.3℃以上，出现持续干咳、乏力、呼吸困难等症状），立即就近到发热门诊或定点医院进一步诊疗。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（四）考生须自备一次性使用医用口罩或医用外科口罩，除核验身份时及时摘带口罩外，考试全程须佩戴口罩。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  <w:r>
        <w:rPr>
          <w:color w:val="000000"/>
          <w:rFonts w:ascii="仿宋_GB2312" w:hAnsi="仿宋_GB2312"/>
          <w:sz w:val="32"/>
          <w:szCs w:val="32"/>
        </w:rPr>
        <w:t>（五）考生要服从考点现场管理，在考点尽量保持1米以上距离，避免近距离接触交流。</w:t>
      </w:r>
      <w:r>
        <w:rPr>
          <w:color w:val="000000"/>
          <w:rFonts w:ascii="仿宋_GB2312" w:hAnsi="仿宋_GB2312"/>
          <w:sz w:val="32"/>
          <w:szCs w:val="32"/>
        </w:rPr>
        <w:t>考试</w:t>
      </w:r>
      <w:r>
        <w:rPr>
          <w:color w:val="000000"/>
          <w:rFonts w:ascii="仿宋_GB2312" w:hAnsi="仿宋_GB2312"/>
          <w:sz w:val="32"/>
          <w:szCs w:val="32"/>
        </w:rPr>
        <w:t>结束后，按要求迅速、有序离场，严禁聚集和逗留。</w:t>
      </w:r>
    </w:p>
    <w:p>
      <w:pPr>
        <w:pStyle w:val=""/>
        <w:ind w:firstLine="640"/>
        <w:spacing w:line="560" w:lineRule="exact"/>
        <w:rPr>
          <w:color w:val="000000"/>
          <w:rFonts w:ascii="仿宋_GB2312" w:hAnsi="仿宋_GB2312"/>
          <w:sz w:val="32"/>
          <w:szCs w:val="32"/>
        </w:rPr>
      </w:pPr>
    </w:p>
    <w:sectPr>
      <w:footerReference r:id="rId8" w:type="default"/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_GB2312"/>
  <w:font w:name="宋体"/>
  <w:font w:name="Calibri"/>
  <w:font w:name="等线 Light"/>
  <w:font w:name="等线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</w:pPr>
    <w:fldSimple w:instr=" PAGE  \* MERGEFORMAT ">
      <w:r>
        <w:rPr/>
        <w:t>2</w:t>
      </w:r>
    </w:fldSimple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1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脚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/>
    <w:rPr>
      <w:sz w:val="18"/>
      <w:szCs w:val="18"/>
    </w:rPr>
  </w:style>
  <w:style w:type="character" w:styleId="Char">
    <w:name w:val="页眉 Char"/>
    <w:qFormat/>
    <w:rPr>
      <w:rFonts w:ascii="Calibri" w:hAnsi="Calibri"/>
      <w:sz w:val="18"/>
      <w:szCs w:val="18"/>
    </w:rPr>
  </w:style>
  <w:style w:type="character" w:styleId="Char">
    <w:name w:val="页脚 Char"/>
    <w:qFormat/>
    <w:rPr>
      <w:rFonts w:ascii="Calibri" w:hAnsi="Calibri"/>
      <w:sz w:val="18"/>
      <w:szCs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character" w:styleId="Char">
    <w:name w:val="批注框文本 Char"/>
    <w:qFormat/>
    <w:rPr>
      <w:rFonts w:ascii="Calibri" w:hAnsi="Calibri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