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left"/>
        <w:spacing w:before="0" w:after="0" w:line="405" w:lineRule="atLeast"/>
        <w:rPr>
          <w:color w:val="000000"/>
          <w:rFonts w:ascii="黑体" w:hAnsi="宋体"/>
          <w:sz w:val="32"/>
          <w:szCs w:val="32"/>
        </w:rPr>
      </w:pPr>
      <w:r>
        <w:rPr>
          <w:color w:val="000000"/>
          <w:rFonts w:ascii="黑体" w:hAnsi="宋体"/>
          <w:sz w:val="32"/>
          <w:szCs w:val="32"/>
        </w:rPr>
        <w:t xml:space="preserve">附件2： </w:t>
      </w:r>
    </w:p>
    <w:p>
      <w:pPr>
        <w:shd w:fill="FFFFFF"/>
        <w:pStyle w:val=""/>
        <w:spacing w:before="0" w:after="0" w:line="405" w:lineRule="atLeast"/>
        <w:rPr>
          <w:color w:val="000000"/>
          <w:rFonts w:ascii="宋体" w:hAnsi="宋体"/>
          <w:sz w:val="44"/>
          <w:szCs w:val="44"/>
        </w:rPr>
      </w:pPr>
      <w:r>
        <w:rPr>
          <w:b/>
          <w:color w:val="000000"/>
          <w:rFonts w:ascii="宋体" w:hAnsi="宋体"/>
          <w:sz w:val="44"/>
          <w:szCs w:val="44"/>
        </w:rPr>
        <w:t>公安机关录用人民警察体能测评实施规则</w:t>
      </w:r>
    </w:p>
    <w:p>
      <w:pPr>
        <w:pStyle w:val=""/>
        <w:ind w:firstLine="640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 w:hAnsi="黑体"/>
          <w:sz w:val="32"/>
          <w:szCs w:val="32"/>
        </w:rPr>
        <w:t>一、10米×4往返跑</w:t>
      </w:r>
    </w:p>
    <w:p>
      <w:pPr>
        <w:pStyle w:val=""/>
        <w:ind w:firstLine="640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pStyle w:val=""/>
        <w:ind w:firstLine="640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  <w:r>
        <w:rPr>
          <w:color w:val="000000"/>
          <w:rFonts w:ascii="仿宋" w:hAnsi="仿宋"/>
          <w:sz w:val="32"/>
          <w:szCs w:val="32"/>
        </w:rPr>
        <w:t>测评次数不超过</w:t>
      </w:r>
      <w:r>
        <w:rPr>
          <w:color w:val="000000"/>
          <w:rFonts w:ascii="仿宋" w:hAnsi="仿宋"/>
          <w:sz w:val="32"/>
          <w:szCs w:val="32"/>
        </w:rPr>
        <w:t>2</w:t>
      </w:r>
      <w:r>
        <w:rPr>
          <w:color w:val="000000"/>
          <w:rFonts w:ascii="仿宋" w:hAnsi="仿宋"/>
          <w:sz w:val="32"/>
          <w:szCs w:val="32"/>
        </w:rPr>
        <w:t>次，有</w:t>
      </w:r>
      <w:r>
        <w:rPr>
          <w:color w:val="000000"/>
          <w:rFonts w:ascii="仿宋" w:hAnsi="仿宋"/>
          <w:sz w:val="32"/>
          <w:szCs w:val="32"/>
        </w:rPr>
        <w:t>1次测评达标的，即视为该项目测评合格。</w:t>
      </w:r>
    </w:p>
    <w:p>
      <w:pPr>
        <w:pStyle w:val=""/>
        <w:ind w:firstLine="640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>注意事项：当受测者取放木块时，脚不要越过S1和S2线。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720" w:type="dxa"/>
      </w:tblPr>
      <w:tblGrid>
        <w:gridCol w:w="900"/>
        <w:gridCol w:w="5400"/>
        <w:gridCol w:w="900"/>
      </w:tblGrid>
      <w:tr>
        <w:trPr>
          <w:trHeight w:val="735" w:hRule="atLeast"/>
        </w:trPr>
        <w:tc>
          <w:tcPr>
            <w:gridSpan w:val="3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" w:hAnsi="仿宋"/>
                <w:sz w:val="32"/>
                <w:szCs w:val="32"/>
              </w:rPr>
              <w:t>S</w:t>
            </w:r>
            <w:r>
              <w:rPr>
                <w:color w:val="000000"/>
                <w:rFonts w:ascii="仿宋" w:hAnsi="仿宋"/>
                <w:sz w:val="32"/>
                <w:szCs w:val="32"/>
              </w:rPr>
              <w:t xml:space="preserve">1                               </w:t>
            </w:r>
            <w:r>
              <w:rPr>
                <w:color w:val="000000"/>
                <w:rFonts w:ascii="仿宋" w:hAnsi="仿宋"/>
                <w:sz w:val="32"/>
                <w:szCs w:val="32"/>
              </w:rPr>
              <w:t>S</w:t>
            </w:r>
            <w:r>
              <w:rPr>
                <w:color w:val="000000"/>
                <w:rFonts w:ascii="仿宋" w:hAnsi="仿宋"/>
                <w:sz w:val="32"/>
                <w:szCs w:val="32"/>
              </w:rPr>
              <w:t>2</w:t>
            </w:r>
          </w:p>
        </w:tc>
      </w:tr>
      <w:tr>
        <w:trPr>
          <w:trHeight w:val="405" w:hRule="atLeast"/>
        </w:trPr>
        <w:tc>
          <w:tcPr>
            <w:tcBorders>
              <w:top w:val="nil" w:sz="0" w:color="auto" w:space="0"/>
            </w:tcBorders>
            <w:vAlign w:val="top"/>
            <w:vMerge w:val="restart"/>
            <w:tcW w:w="0" w:type="nil"/>
          </w:tcPr>
          <w:p>
            <w:pPr>
              <w:pStyle w:val=""/>
              <w:ind w:firstLine="640"/>
              <w:rPr>
                <w:color w:val="000000"/>
                <w:rFonts w:ascii="仿宋" w:hAnsi="仿宋"/>
                <w:sz w:val="32"/>
                <w:szCs w:val="32"/>
              </w:rPr>
            </w:pPr>
          </w:p>
          <w:p>
            <w:pPr>
              <w:pStyle w:val=""/>
              <w:ind w:firstLine="640"/>
              <w:rPr>
                <w:color w:val="000000"/>
                <w:rFonts w:ascii="仿宋" w:hAnsi="仿宋"/>
                <w:sz w:val="32"/>
                <w:szCs w:val="32"/>
              </w:rPr>
            </w:pPr>
          </w:p>
          <w:p>
            <w:pPr>
              <w:pStyle w:val=""/>
              <w:ind w:firstLine="640"/>
            </w:pPr>
          </w:p>
        </w:tc>
        <w:tc>
          <w:tcPr>
            <w:tcBorders>
              <w:top w:val="nil" w:sz="0" w:color="auto" w:space="0"/>
            </w:tcBorders>
            <w:vAlign w:val="top"/>
            <w:tcW w:w="0" w:type="nil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</w:tcBorders>
            <w:vAlign w:val="top"/>
            <w:vMerge w:val="restart"/>
            <w:tcW w:w="0" w:type="nil"/>
          </w:tcPr>
          <w:p>
            <w:pPr>
              <w:pStyle w:val=""/>
              <w:jc w:val="left"/>
              <w:rPr>
                <w:color w:val="000000"/>
                <w:rFonts w:ascii="仿宋" w:hAnsi="仿宋"/>
                <w:sz w:val="32"/>
                <w:szCs w:val="32"/>
              </w:rPr>
            </w:pPr>
          </w:p>
          <w:p>
            <w:pPr>
              <w:pStyle w:val=""/>
              <w:rPr>
                <w:color w:val="000000"/>
                <w:rFonts w:ascii="仿宋" w:hAnsi="仿宋"/>
                <w:sz w:val="32"/>
                <w:szCs w:val="32"/>
              </w:rPr>
            </w:pPr>
          </w:p>
          <w:p>
            <w:pPr>
              <w:pStyle w:val=""/>
              <w:rPr>
                <w:color w:val="000000"/>
                <w:rFonts w:ascii="仿宋" w:hAnsi="仿宋"/>
                <w:sz w:val="32"/>
                <w:szCs w:val="32"/>
              </w:rPr>
            </w:pPr>
          </w:p>
          <w:p>
            <w:pPr>
              <w:pStyle w:val=""/>
              <w:rPr>
                <w:color w:val="000000"/>
                <w:rFonts w:ascii="仿宋" w:hAnsi="仿宋"/>
                <w:sz w:val="32"/>
                <w:szCs w:val="32"/>
              </w:rPr>
            </w:pPr>
            <w:r>
              <w:rPr>
                <w:color w:val="000000"/>
                <w:rFonts w:ascii="仿宋" w:hAnsi="仿宋"/>
                <w:sz w:val="32"/>
                <w:szCs w:val="32"/>
              </w:rPr>
              <w:t>←→</w:t>
            </w:r>
          </w:p>
          <w:p>
            <w:pPr>
              <w:pStyle w:val=""/>
            </w:pPr>
            <w:r>
              <w:rPr>
                <w:color w:val="000000"/>
                <w:rFonts w:ascii="仿宋" w:hAnsi="仿宋"/>
                <w:sz w:val="32"/>
                <w:szCs w:val="32"/>
              </w:rPr>
              <w:t>30CM</w:t>
            </w:r>
          </w:p>
        </w:tc>
      </w:tr>
      <w:tr>
        <w:trPr>
          <w:trHeight w:val="315" w:hRule="atLeast"/>
        </w:trPr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nil" w:sz="0" w:color="auto" w:space="0"/>
            </w:tcBorders>
          </w:tcPr>
          <w:p/>
        </w:tc>
      </w:tr>
      <w:tr>
        <w:trPr>
          <w:trHeight w:val="735" w:hRule="atLeast"/>
        </w:trPr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nil" w:sz="0" w:color="auto" w:space="0"/>
            </w:tcBorders>
          </w:tcPr>
          <w:p/>
        </w:tc>
      </w:tr>
      <w:tr>
        <w:trPr>
          <w:trHeight w:val="735" w:hRule="atLeast"/>
        </w:trPr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vMerge/>
            <w:tcBorders>
              <w:top w:val="nil" w:sz="0" w:color="auto" w:space="0"/>
            </w:tcBorders>
          </w:tcPr>
          <w:p/>
        </w:tc>
      </w:tr>
      <w:tr>
        <w:trPr>
          <w:trHeight w:val="735" w:hRule="atLeast"/>
        </w:trPr>
        <w:tc>
          <w:tcPr>
            <w:vMerge/>
            <w:tcBorders>
              <w:top w:val="nil" w:sz="0" w:color="auto" w:space="0"/>
            </w:tcBorders>
          </w:tcPr>
          <w:p/>
        </w:tc>
        <w:tc>
          <w:tcPr>
            <w:tcBorders>
              <w:bottom w:val="nil" w:sz="0" w:color="auto" w:space="0"/>
            </w:tcBorders>
            <w:vAlign w:val="top"/>
            <w:tcW w:w="0" w:type="nil"/>
          </w:tcPr>
          <w:p>
            <w:pPr>
              <w:pStyle w:val=""/>
              <w:ind w:firstLine="1920"/>
            </w:pPr>
            <w:r>
              <w:rPr>
                <w:color w:val="000000"/>
                <w:rFonts w:ascii="仿宋" w:hAnsi="仿宋"/>
                <w:sz w:val="32"/>
                <w:szCs w:val="32"/>
              </w:rPr>
              <w:t>←10M→</w:t>
            </w:r>
          </w:p>
        </w:tc>
        <w:tc>
          <w:tcPr>
            <w:vMerge/>
            <w:tcBorders>
              <w:top w:val="nil" w:sz="0" w:color="auto" w:space="0"/>
            </w:tcBorders>
          </w:tcPr>
          <w:p/>
        </w:tc>
      </w:tr>
    </w:tbl>
    <w:p>
      <w:pPr>
        <w:shd w:fill="FFFFFF"/>
        <w:pStyle w:val=""/>
        <w:ind w:firstLine="4200"/>
        <w:spacing w:before="0" w:after="0" w:line="405" w:lineRule="atLeast"/>
        <w:rPr>
          <w:color w:val="000000"/>
          <w:rFonts w:ascii="仿宋" w:hAnsi="仿宋"/>
          <w:szCs w:val="21"/>
        </w:rPr>
      </w:pPr>
      <w:r>
        <w:rPr>
          <w:color w:val="000000"/>
          <w:rFonts w:ascii="仿宋" w:hAnsi="仿宋"/>
          <w:szCs w:val="21"/>
        </w:rPr>
        <w:t>图1</w:t>
      </w:r>
    </w:p>
    <w:p>
      <w:pPr>
        <w:pStyle w:val=""/>
        <w:ind w:firstLine="640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 w:hAnsi="黑体"/>
          <w:sz w:val="32"/>
          <w:szCs w:val="32"/>
        </w:rPr>
        <w:t>二、男子1000米跑、女子800米跑</w:t>
      </w:r>
    </w:p>
    <w:p>
      <w:pPr>
        <w:pStyle w:val="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</w:rPr>
        <w:t xml:space="preserve"> </w:t>
      </w:r>
      <w:r>
        <w:rPr>
          <w:color w:val="000000"/>
          <w:rFonts w:ascii="仿宋" w:hAnsi="仿宋"/>
          <w:sz w:val="32"/>
          <w:szCs w:val="32"/>
        </w:rPr>
        <w:t xml:space="preserve">   场地器材：400米田径跑道。地面平坦，地质不限。秒表若干块，使用前应进行校正。</w:t>
      </w:r>
    </w:p>
    <w:p>
      <w:pPr>
        <w:pStyle w:val="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 xml:space="preserve">   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pStyle w:val=""/>
        <w:ind w:firstLine="480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黑体" w:hAnsi="黑体"/>
          <w:sz w:val="32"/>
          <w:szCs w:val="32"/>
        </w:rPr>
        <w:t>三、纵跳摸高</w:t>
      </w:r>
    </w:p>
    <w:p>
      <w:pPr>
        <w:pStyle w:val="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 xml:space="preserve">   场地要求：通常在室内场地测试。如选择室外场地测试，需在天气状况许可的情况下进行，当天平均气温应在15-35摄氏度之间，无太阳直射、风力不超过3级。</w:t>
      </w:r>
    </w:p>
    <w:p>
      <w:pPr>
        <w:pStyle w:val="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 xml:space="preserve">   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pStyle w:val=""/>
        <w:rPr>
          <w:color w:val="000000"/>
          <w:rFonts w:ascii="仿宋" w:hAnsi="仿宋"/>
          <w:sz w:val="32"/>
          <w:szCs w:val="32"/>
        </w:rPr>
      </w:pPr>
      <w:r>
        <w:rPr>
          <w:color w:val="000000"/>
          <w:rFonts w:ascii="仿宋" w:hAnsi="仿宋"/>
          <w:sz w:val="32"/>
          <w:szCs w:val="32"/>
        </w:rPr>
        <w:t xml:space="preserve">   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sectPr>
      <w:pgSz w:w="11906" w:h="16838"/>
      <w:pgMar w:left="1797" w:right="1797" w:top="1304" w:bottom="130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