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44"/>
          <w:kern w:val="2"/>
          <w:lang w:val="en-US" w:eastAsia="zh-CN" w:bidi="ar-SA"/>
          <w:b w:val="1"/>
          <w:i w:val="0"/>
          <w:sz w:val="44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1"/>
          <w:i w:val="0"/>
          <w:sz w:val="44"/>
          <w:spacing w:val="0"/>
          <w:w w:val="100"/>
          <w:rFonts w:ascii="Times New Roman" w:eastAsia="宋体" w:hAnsi="Times New Roman"/>
          <w:caps w:val="0"/>
        </w:rPr>
        <w:t/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44"/>
          <w:kern w:val="2"/>
          <w:lang w:val="en-US" w:eastAsia="zh-CN" w:bidi="ar-SA"/>
          <w:b w:val="1"/>
          <w:i w:val="0"/>
          <w:sz w:val="44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1"/>
          <w:i w:val="0"/>
          <w:sz w:val="44"/>
          <w:spacing w:val="0"/>
          <w:w w:val="100"/>
          <w:rFonts w:ascii="Times New Roman" w:eastAsia="宋体" w:hAnsi="Times New Roman"/>
          <w:caps w:val="0"/>
        </w:rPr>
        <w:t/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44"/>
          <w:kern w:val="2"/>
          <w:lang w:val="en-US" w:eastAsia="zh-CN" w:bidi="ar-SA"/>
          <w:b w:val="1"/>
          <w:i w:val="0"/>
          <w:sz w:val="44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rStyle w:val="NormalCharacter"/>
          <w:szCs w:val="44"/>
          <w:kern w:val="2"/>
          <w:lang w:val="en-US" w:eastAsia="zh-CN" w:bidi="ar-SA"/>
          <w:b w:val="1"/>
          <w:i w:val="0"/>
          <w:sz w:val="44"/>
          <w:spacing w:val="0"/>
          <w:w w:val="100"/>
          <w:rFonts w:ascii="Times New Roman" w:eastAsia="宋体" w:hAnsi="Times New Roman"/>
          <w:caps w:val="0"/>
        </w:rPr>
        <w:t>对重点地区管控原则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t/>
      </w:r>
    </w:p>
    <w:p>
      <w:pPr>
        <w:jc w:val="both"/>
        <w:spacing w:before="0" w:beforeAutospacing="0" w:after="0" w:afterAutospacing="0" w:line="600" w:lineRule="exact"/>
        <w:rPr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snapToGrid w:val="0"/>
        <w:ind w:left="0" w:firstLine="480" w:firstLineChars="15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Times New Roman" w:eastAsia="宋体" w:hAnsi="Times New Roman"/>
          <w:caps w:val="0"/>
        </w:rPr>
        <w:t> 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" w:eastAsia="仿宋" w:hAnsi="Times New Roman"/>
          <w:caps w:val="0"/>
        </w:rPr>
        <w:t xml:space="preserve">一、12月10日后沈阳市于洪区北陵街道来（返）锦人员，全部实施集中隔离医学观察，隔离期限至来（返）锦后满14天，期间进行2次核酸检测。</w:t>
      </w:r>
    </w:p>
    <w:p>
      <w:pPr>
        <w:jc w:val="both"/>
        <w:spacing w:before="0" w:beforeAutospacing="0" w:after="0" w:afterAutospacing="0" w:line="600" w:lineRule="exact"/>
        <w:rPr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snapToGrid w:val="0"/>
        <w:ind w:left="0" w:firstLine="480" w:firstLineChars="150"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t>二、12月10日后沈阳市于洪区（不含北陵街道）来（返）锦人员，持有效7日内核酸检测阴性证明（无核酸检测证明的应立即到有核酸检测资质的机构进行检测）和健康通行绿码，纳入社区健康监控。</w:t>
      </w:r>
    </w:p>
    <w:p>
      <w:pPr>
        <w:jc w:val="both"/>
        <w:spacing w:before="0" w:beforeAutospacing="0" w:after="0" w:afterAutospacing="0" w:line="600" w:lineRule="exact"/>
        <w:rPr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snapToGrid w:val="0"/>
        <w:ind w:left="0" w:firstLine="480" w:firstLineChars="15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" w:eastAsia="仿宋" w:hAnsi="Times New Roman"/>
          <w:caps w:val="0"/>
        </w:rPr>
        <w:t>三、12月8日后大连市金普新区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t>来（返）锦人员，全部实施集中隔离医学观察，隔离期限至来（返）锦后满14天，期间进行2次核酸检测。</w:t>
      </w:r>
    </w:p>
    <w:p>
      <w:pPr>
        <w:jc w:val="both"/>
        <w:spacing w:before="0" w:beforeAutospacing="0" w:after="0" w:afterAutospacing="0" w:line="600" w:lineRule="exact"/>
        <w:rPr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snapToGrid w:val="0"/>
        <w:ind w:left="0" w:firstLine="480" w:firstLineChars="15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t>四、12月6日后北京市朝阳区酒仙桥街道来（返）锦人员，全部实施集中隔离医学观察，隔离期限至来（返）锦后满14天，期间进行2次核酸检测。</w:t>
      </w:r>
    </w:p>
    <w:p>
      <w:pPr>
        <w:jc w:val="both"/>
        <w:spacing w:before="0" w:beforeAutospacing="0" w:after="0" w:afterAutospacing="0" w:line="600" w:lineRule="exact"/>
        <w:rPr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snapToGrid w:val="0"/>
        <w:ind w:left="0" w:firstLine="480" w:firstLineChars="15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t>五、12月6日后北京市朝阳区（不含酒仙桥街道）来（返）锦人员，持有效7日内核酸检测阴性证明（无核酸检测证明的应立即到有核酸检测资质的机构进行检测）和健康通行绿码，纳入社区健康监控。</w:t>
      </w:r>
    </w:p>
    <w:p>
      <w:pPr>
        <w:jc w:val="both"/>
        <w:spacing w:before="0" w:beforeAutospacing="0" w:after="0" w:afterAutospacing="0" w:line="600" w:lineRule="exact"/>
        <w:rPr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snapToGrid w:val="0"/>
        <w:ind w:left="0" w:firstLine="480" w:firstLineChars="150"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t/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eastAsia="仿宋_GB2312" w:hAnsi="Times New Roman"/>
          <w:caps w:val="0"/>
        </w:rPr>
        <w:snapToGrid w:val="0"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" w:eastAsia="仿宋" w:hAnsi="Times New Roman"/>
          <w:caps w:val="0"/>
        </w:rPr>
        <w:t xml:space="preserve">六、12月2日后大连市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eastAsia="仿宋_GB2312" w:hAnsi="Times New Roman"/>
          <w:caps w:val="0"/>
        </w:rPr>
        <w:t xml:space="preserve">（不含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" w:eastAsia="仿宋" w:hAnsi="Times New Roman"/>
          <w:caps w:val="0"/>
        </w:rPr>
        <w:t xml:space="preserve">金普新区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eastAsia="仿宋_GB2312" w:hAnsi="Times New Roman"/>
          <w:caps w:val="0"/>
        </w:rPr>
        <w:t xml:space="preserve">）来（返）锦人员，持有效7日内核酸检测阴性证明（无核酸检测证明的应立即到有核酸检测资质的机构进行检测）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eastAsia="仿宋_GB2312" w:hAnsi="Times New Roman"/>
          <w:caps w:val="0"/>
        </w:rPr>
        <w:t xml:space="preserve">和健康通行绿码，纳入社区健康监控。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snapToGrid w:val="0"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t xml:space="preserve">七、11月30日后新疆吐鲁番市高昌区来（返）锦人员，全部实施集中隔离医学观察，隔离期限至来（返）锦后满14天，期间进行2次核酸检测。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eastAsia="仿宋_GB2312" w:hAnsi="Times New Roman"/>
          <w:caps w:val="0"/>
        </w:rPr>
        <w:snapToGrid w:val="0"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t xml:space="preserve">八、11月30日后新疆吐鲁番市（不含高昌区）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eastAsia="仿宋_GB2312" w:hAnsi="Times New Roman"/>
          <w:caps w:val="0"/>
        </w:rPr>
        <w:t xml:space="preserve">来（返）锦人员，持有效7日内核酸检测阴性证明（无核酸检测证明的应立即到有核酸检测资质的机构进行检测）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eastAsia="仿宋_GB2312" w:hAnsi="Times New Roman"/>
          <w:caps w:val="0"/>
        </w:rPr>
        <w:t xml:space="preserve">和健康通行绿码，纳入社区健康监控。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snapToGrid w:val="0"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t xml:space="preserve">九、11月27日后黑龙江省牡丹江市东宁市、绥芬河市来（返）锦人员，全部实施集中隔离医学观察，隔离期限至来（返）锦后满14天，期间进行2次核酸检测。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eastAsia="仿宋_GB2312" w:hAnsi="Times New Roman"/>
          <w:caps w:val="0"/>
        </w:rPr>
        <w:snapToGrid w:val="0"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t xml:space="preserve">十、11月27日后黑龙江省牡丹江市（不含东宁市、绥芬河市）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eastAsia="仿宋_GB2312" w:hAnsi="Times New Roman"/>
          <w:caps w:val="0"/>
        </w:rPr>
        <w:t xml:space="preserve">来（返）锦人员，持有效7日内核酸检测阴性证明（无核酸检测证明的应立即到有核酸检测资质的机构进行检测）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eastAsia="仿宋_GB2312" w:hAnsi="Times New Roman"/>
          <w:caps w:val="0"/>
        </w:rPr>
        <w:t xml:space="preserve">和健康通行绿码，纳入社区健康监控。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snapToGrid w:val="0"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t xml:space="preserve">十一、11月25日后四川省成都市成华区来（返）锦人员，全部实施集中隔离医学观察，隔离期限至来（返）锦后满14天，期间进行2次核酸检测。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snapToGrid w:val="0"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t xml:space="preserve">十二、11月24日后四川省成都市郫都区来（返）锦人员，全部实施集中隔离医学观察，隔离期限至来（返）锦后满14天，期间进行2次核酸检测。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eastAsia="仿宋_GB2312" w:hAnsi="Times New Roman"/>
          <w:caps w:val="0"/>
        </w:rPr>
        <w:snapToGrid w:val="0"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eastAsia="仿宋_GB2312" w:hAnsi="Times New Roman"/>
          <w:caps w:val="0"/>
        </w:rPr>
        <w:t xml:space="preserve">十三、11月24日后四川省成都市（不含郫都区、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t xml:space="preserve">成华区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eastAsia="仿宋_GB2312" w:hAnsi="Times New Roman"/>
          <w:caps w:val="0"/>
        </w:rPr>
        <w:t xml:space="preserve">）来（返）锦人员，持有效7日内核酸检测阴性证明（无核酸检测证明的应立即到有核酸检测资质的机构进行检测）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eastAsia="仿宋_GB2312" w:hAnsi="Times New Roman"/>
          <w:caps w:val="0"/>
        </w:rPr>
        <w:t xml:space="preserve">和健康通行绿码，纳入社区健康监控。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snapToGrid w:val="0"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t xml:space="preserve">十四、11月8日后内蒙古呼伦贝尔满洲里市来（返）锦人员，全部实施集中隔离医学观察，隔离期限至来（返）锦后满14天，期间进行2次核酸检测。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snapToGrid w:val="0"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t xml:space="preserve">十五、11月8日后内蒙古呼伦贝尔市来（返）锦人员，持有效7日内核酸检测阴性证明（无核酸检测证明的应立即到有核酸检测资质的机构进行检测）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t xml:space="preserve">和健康通行绿码，纳入社区健康监控。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snapToGrid w:val="0"/>
        <w:ind w:firstLine="640" w:firstLineChars="200"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snapToGrid/>
        <w:ind w:firstLine="63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t xml:space="preserve">我市人员非必要不要前往上述地区。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snapToGrid/>
        <w:ind w:firstLine="630"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snapToGrid/>
        <w:ind w:left="3663" w:hanging="3040" w:leftChars="297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t xml:space="preserve">             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snapToGrid/>
        <w:ind w:firstLine="63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t xml:space="preserve">                    </w:t>
      </w:r>
    </w:p>
    <w:sectPr>
      <w:type w:val="nextPage"/>
      <w:pgSz w:h="16838" w:w="11906" w:orient="portrait"/>
      <w:pgMar w:gutter="0" w:header="851" w:top="1440" w:bottom="1440" w:footer="992" w:left="1800" w:right="1800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3aff" w:usb1="c0007843" w:usb2="00000009" w:usb3="00000000" w:csb0="000001ff" w:csb1="00000000"/>
  </w:font>
  <w:font w:name="Wingdings">
    <w:altName w:val="Wingdings"/>
    <w:charset w:val="02"/>
    <w:family w:val="auto"/>
    <w:panose1 w:val="05000000000000000000"/>
    <w:pitch w:val="variable"/>
    <w:sig w:usb0="00000000" w:usb1="00000000" w:usb2="00000000" w:usb3="00000000" w:csb0="80000000" w:csb1="00000000"/>
  </w:font>
  <w:font w:name="仿宋_GB2312">
    <w:altName w:val="仿宋"/>
    <w:charset w:val="86"/>
    <w:family w:val="swiss"/>
    <w:panose1 w:val="00000000000000000000"/>
    <w:pitch w:val="variable"/>
    <w:sig w:usb0="00000001" w:usb1="080e0000" w:usb2="00000000" w:usb3="00000000" w:csb0="00040000" w:csb1="00000000"/>
  </w:font>
  <w:font w:name="仿宋">
    <w:altName w:val="仿宋"/>
    <w:charset w:val="86"/>
    <w:family w:val="modern"/>
    <w:panose1 w:val="02010609060101010101"/>
    <w:pitch w:val="variable"/>
    <w:sig w:usb0="800002bf" w:usb1="38cf7cfa" w:usb2="00000016" w:usb3="00000000" w:csb0="00040001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Arial">
    <w:altName w:val="Arial"/>
    <w:charset w:val="00"/>
    <w:family w:val="swiss"/>
    <w:panose1 w:val="020b0604020202020204"/>
    <w:pitch w:val="variable"/>
    <w:sig w:usb0="e0003aff" w:usb1="c0007843" w:usb2="00000009" w:usb3="00000000" w:csb0="000001ff" w:csb1="00000000"/>
  </w:font>
  <w:font w:name="黑体">
    <w:altName w:val="黑体"/>
    <w:charset w:val="86"/>
    <w:family w:val="auto"/>
    <w:panose1 w:val="02010609060101010101"/>
    <w:pitch w:val="variable"/>
    <w:sig w:usb0="800002bf" w:usb1="38cf7cfa" w:usb2="00000016" w:usb3="00000000" w:csb0="00040001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fffff7c"/>
    <w:multiLevelType w:val="hybridMultilevel"/>
    <w:tmpl w:val="00000000"/>
    <w:lvl w:ilvl="0">
      <w:start w:val="1"/>
      <w:numFmt w:val="decimal"/>
      <w:suff w:val="tab"/>
      <w:pStyle w:val=""/>
      <w:lvlText w:val="%1."/>
      <w:lvlJc w:val="left"/>
      <w:pPr>
        <w:pStyle w:val="Normal"/>
        <w:widowControl/>
        <w:ind w:hanging="360" w:left="2040"/>
        <w:textAlignment w:val="baseline"/>
      </w:pPr>
      <w:rPr>
        <w:rStyle w:val="NormalCharacter"/>
      </w:rPr>
    </w:lvl>
  </w:abstractNum>
  <w:abstractNum w:abstractNumId="1">
    <w:nsid w:val="0fffff7d"/>
    <w:multiLevelType w:val="hybridMultilevel"/>
    <w:tmpl w:val="00000000"/>
    <w:lvl w:ilvl="0">
      <w:start w:val="1"/>
      <w:numFmt w:val="decimal"/>
      <w:suff w:val="tab"/>
      <w:pStyle w:val=""/>
      <w:lvlText w:val="%1."/>
      <w:lvlJc w:val="left"/>
      <w:pPr>
        <w:pStyle w:val="Normal"/>
        <w:widowControl/>
        <w:ind w:hanging="360" w:left="1620"/>
        <w:textAlignment w:val="baseline"/>
      </w:pPr>
      <w:rPr>
        <w:rStyle w:val="NormalCharacter"/>
      </w:rPr>
    </w:lvl>
  </w:abstractNum>
  <w:abstractNum w:abstractNumId="2">
    <w:nsid w:val="0fffff7e"/>
    <w:multiLevelType w:val="hybridMultilevel"/>
    <w:tmpl w:val="00000000"/>
    <w:lvl w:ilvl="0">
      <w:start w:val="1"/>
      <w:numFmt w:val="decimal"/>
      <w:suff w:val="tab"/>
      <w:pStyle w:val=""/>
      <w:lvlText w:val="%1."/>
      <w:lvlJc w:val="left"/>
      <w:pPr>
        <w:pStyle w:val="Normal"/>
        <w:widowControl/>
        <w:ind w:hanging="360" w:left="1200"/>
        <w:textAlignment w:val="baseline"/>
      </w:pPr>
      <w:rPr>
        <w:rStyle w:val="NormalCharacter"/>
      </w:rPr>
    </w:lvl>
  </w:abstractNum>
  <w:abstractNum w:abstractNumId="3">
    <w:nsid w:val="0fffff7f"/>
    <w:multiLevelType w:val="hybridMultilevel"/>
    <w:tmpl w:val="00000000"/>
    <w:lvl w:ilvl="0">
      <w:start w:val="1"/>
      <w:numFmt w:val="decimal"/>
      <w:suff w:val="tab"/>
      <w:pStyle w:val=""/>
      <w:lvlText w:val="%1."/>
      <w:lvlJc w:val="left"/>
      <w:pPr>
        <w:pStyle w:val="Normal"/>
        <w:widowControl/>
        <w:ind w:hanging="360" w:left="780"/>
        <w:textAlignment w:val="baseline"/>
      </w:pPr>
      <w:rPr>
        <w:rStyle w:val="NormalCharacter"/>
      </w:rPr>
    </w:lvl>
  </w:abstractNum>
  <w:abstractNum w:abstractNumId="4">
    <w:nsid w:val="0fffff80"/>
    <w:multiLevelType w:val="hybridMultilevel"/>
    <w:tmpl w:val="00000000"/>
    <w:lvl w:ilvl="0">
      <w:start w:val="1"/>
      <w:numFmt w:val="bullet"/>
      <w:suff w:val="tab"/>
      <w:pStyle w:val=""/>
      <w:lvlText w:val=""/>
      <w:lvlJc w:val="left"/>
      <w:pPr>
        <w:pStyle w:val="Normal"/>
        <w:widowControl/>
        <w:ind w:hanging="360" w:left="2040"/>
        <w:textAlignment w:val="baseline"/>
      </w:pPr>
      <w:rPr>
        <w:rStyle w:val="NormalCharacter"/>
        <w:rFonts w:ascii="Wingdings" w:hAnsi="Wingdings"/>
      </w:rPr>
    </w:lvl>
  </w:abstractNum>
  <w:abstractNum w:abstractNumId="5">
    <w:nsid w:val="0fffff81"/>
    <w:multiLevelType w:val="hybridMultilevel"/>
    <w:tmpl w:val="00000000"/>
    <w:lvl w:ilvl="0">
      <w:start w:val="1"/>
      <w:numFmt w:val="bullet"/>
      <w:suff w:val="tab"/>
      <w:pStyle w:val=""/>
      <w:lvlText w:val=""/>
      <w:lvlJc w:val="left"/>
      <w:pPr>
        <w:pStyle w:val="Normal"/>
        <w:widowControl/>
        <w:ind w:hanging="360" w:left="1620"/>
        <w:textAlignment w:val="baseline"/>
      </w:pPr>
      <w:rPr>
        <w:rStyle w:val="NormalCharacter"/>
        <w:rFonts w:ascii="Wingdings" w:hAnsi="Wingdings"/>
      </w:rPr>
    </w:lvl>
  </w:abstractNum>
  <w:abstractNum w:abstractNumId="6">
    <w:nsid w:val="0fffff82"/>
    <w:multiLevelType w:val="hybridMultilevel"/>
    <w:tmpl w:val="00000000"/>
    <w:lvl w:ilvl="0">
      <w:start w:val="1"/>
      <w:numFmt w:val="bullet"/>
      <w:suff w:val="tab"/>
      <w:pStyle w:val=""/>
      <w:lvlText w:val=""/>
      <w:lvlJc w:val="left"/>
      <w:pPr>
        <w:pStyle w:val="Normal"/>
        <w:widowControl/>
        <w:ind w:hanging="360" w:left="1200"/>
        <w:textAlignment w:val="baseline"/>
      </w:pPr>
      <w:rPr>
        <w:rStyle w:val="NormalCharacter"/>
        <w:rFonts w:ascii="Wingdings" w:hAnsi="Wingdings"/>
      </w:rPr>
    </w:lvl>
  </w:abstractNum>
  <w:abstractNum w:abstractNumId="7">
    <w:nsid w:val="0fffff83"/>
    <w:multiLevelType w:val="hybridMultilevel"/>
    <w:tmpl w:val="00000000"/>
    <w:lvl w:ilvl="0">
      <w:start w:val="1"/>
      <w:numFmt w:val="bullet"/>
      <w:suff w:val="tab"/>
      <w:pStyle w:val=""/>
      <w:lvlText w:val=""/>
      <w:lvlJc w:val="left"/>
      <w:pPr>
        <w:pStyle w:val="Normal"/>
        <w:widowControl/>
        <w:ind w:hanging="360" w:left="780"/>
        <w:textAlignment w:val="baseline"/>
      </w:pPr>
      <w:rPr>
        <w:rStyle w:val="NormalCharacter"/>
        <w:rFonts w:ascii="Wingdings" w:hAnsi="Wingdings"/>
      </w:rPr>
    </w:lvl>
  </w:abstractNum>
  <w:abstractNum w:abstractNumId="8">
    <w:nsid w:val="0fffff88"/>
    <w:multiLevelType w:val="hybridMultilevel"/>
    <w:tmpl w:val="00000000"/>
    <w:lvl w:ilvl="0">
      <w:start w:val="1"/>
      <w:numFmt w:val="decimal"/>
      <w:suff w:val="tab"/>
      <w:pStyle w:val=""/>
      <w:lvlText w:val="%1."/>
      <w:lvlJc w:val="left"/>
      <w:pPr>
        <w:pStyle w:val="Normal"/>
        <w:widowControl/>
        <w:ind w:hanging="360" w:left="360"/>
        <w:textAlignment w:val="baseline"/>
      </w:pPr>
      <w:rPr>
        <w:rStyle w:val="NormalCharacter"/>
      </w:rPr>
    </w:lvl>
  </w:abstractNum>
  <w:abstractNum w:abstractNumId="9">
    <w:nsid w:val="0fffff89"/>
    <w:multiLevelType w:val="hybridMultilevel"/>
    <w:tmpl w:val="00000000"/>
    <w:lvl w:ilvl="0">
      <w:start w:val="1"/>
      <w:numFmt w:val="bullet"/>
      <w:suff w:val="tab"/>
      <w:pStyle w:val=""/>
      <w:lvlText w:val=""/>
      <w:lvlJc w:val="left"/>
      <w:pPr>
        <w:pStyle w:val="Normal"/>
        <w:widowControl/>
        <w:ind w:hanging="360" w:left="360"/>
        <w:textAlignment w:val="baseline"/>
      </w:pPr>
      <w:rPr>
        <w:rStyle w:val="NormalCharacter"/>
        <w:rFonts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="http://schemas.openxmlformats.org/wordprocessingml/2006/main">
  <w:zoom w:percent="100"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仿宋" w:hAnsi="Times New Roman"/>
        <w:lang w:val="en-US"/>
      </w:rPr>
    </w:rPrDefault>
    <w:pPrDefault/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  <w:rFonts w:ascii="Times New Roman" w:eastAsia="宋体" w:hAnsi="Times New Roman"/>
      </w:rPr>
      <w:jc w:val="both"/>
      <w:textAlignment w:val="baseline"/>
    </w:pPr>
    <w:rPr>
      <w:szCs w:val="24"/>
      <w:sz w:val="21"/>
      <w:kern w:val="2"/>
      <w:lang w:val="en-US" w:eastAsia="zh-CN" w:bidi="ar-SA"/>
      <w:rFonts w:ascii="Times New Roman" w:eastAsia="宋体" w:hAnsi="Times New Roman"/>
    </w:rPr>
  </w:style>
  <w:style w:type="paragraph" w:styleId="Heading1">
    <w:name w:val="Heading1"/>
    <w:basedOn w:val="Normal"/>
    <w:next w:val="Normal"/>
    <w:link w:val="Normal"/>
    <w:pPr>
      <w:rPr>
        <w:b/>
        <w:bCs/>
        <w:szCs w:val="24"/>
        <w:sz w:val="44"/>
        <w:kern w:val="44"/>
        <w:lang w:val="en-US" w:eastAsia="zh-CN" w:bidi="ar-SA"/>
        <w:rFonts w:ascii="Times New Roman" w:cs="Times New Roman" w:eastAsia="宋体" w:hAnsi="Times New Roman"/>
      </w:rPr>
      <w:keepLines/>
      <w:keepNext/>
      <w:framePr w:outlineLvl="0"/>
      <w:spacing w:line="578" w:after="330" w:before="340" w:lineRule="auto"/>
      <w:jc w:val="both"/>
      <w:textAlignment w:val="baseline"/>
    </w:pPr>
    <w:rPr>
      <w:b/>
      <w:bCs/>
      <w:szCs w:val="24"/>
      <w:sz w:val="44"/>
      <w:kern w:val="44"/>
      <w:lang w:val="en-US" w:eastAsia="zh-CN" w:bidi="ar-SA"/>
      <w:rFonts w:ascii="Times New Roman" w:cs="Times New Roman" w:eastAsia="宋体" w:hAnsi="Times New Roman"/>
    </w:rPr>
  </w:style>
  <w:style w:type="paragraph" w:styleId="Heading2">
    <w:name w:val="Heading2"/>
    <w:basedOn w:val="Normal"/>
    <w:next w:val="Normal"/>
    <w:link w:val="Normal"/>
    <w:pPr>
      <w:rPr>
        <w:b/>
        <w:szCs w:val="24"/>
        <w:sz w:val="32"/>
        <w:kern w:val="2"/>
        <w:lang w:val="en-US" w:eastAsia="zh-CN" w:bidi="ar-SA"/>
        <w:rFonts w:ascii="Arial" w:eastAsia="黑体" w:hAnsi="Arial"/>
      </w:rPr>
      <w:keepLines/>
      <w:keepNext/>
      <w:framePr w:outlineLvl="1"/>
      <w:spacing w:line="415" w:after="260" w:before="260" w:lineRule="auto"/>
      <w:jc w:val="both"/>
      <w:textAlignment w:val="baseline"/>
    </w:pPr>
    <w:rPr>
      <w:b/>
      <w:szCs w:val="24"/>
      <w:sz w:val="32"/>
      <w:kern w:val="2"/>
      <w:lang w:val="en-US" w:eastAsia="zh-CN" w:bidi="ar-SA"/>
      <w:rFonts w:ascii="Arial" w:eastAsia="黑体" w:hAnsi="Arial"/>
    </w:rPr>
  </w:style>
  <w:style w:type="paragraph" w:styleId="Heading3">
    <w:name w:val="Heading3"/>
    <w:basedOn w:val="Normal"/>
    <w:next w:val="Normal"/>
    <w:link w:val="Normal"/>
    <w:pPr>
      <w:rPr>
        <w:b/>
        <w:szCs w:val="24"/>
        <w:sz w:val="32"/>
        <w:kern w:val="2"/>
        <w:lang w:val="en-US" w:eastAsia="zh-CN" w:bidi="ar-SA"/>
        <w:rFonts w:ascii="Times New Roman" w:eastAsia="宋体" w:hAnsi="Times New Roman"/>
      </w:rPr>
      <w:keepLines/>
      <w:keepNext/>
      <w:framePr w:outlineLvl="2"/>
      <w:spacing w:line="415" w:after="260" w:before="260" w:lineRule="auto"/>
      <w:jc w:val="both"/>
      <w:textAlignment w:val="baseline"/>
    </w:pPr>
    <w:rPr>
      <w:b/>
      <w:szCs w:val="24"/>
      <w:sz w:val="32"/>
      <w:kern w:val="2"/>
      <w:lang w:val="en-US" w:eastAsia="zh-CN" w:bidi="ar-SA"/>
      <w:rFonts w:ascii="Times New Roman" w:eastAsia="宋体" w:hAnsi="Times New Roman"/>
    </w:rPr>
  </w:style>
  <w:style w:type="character" w:styleId="NormalCharacter">
    <w:name w:val="NormalCharacter"/>
    <w:next w:val="NormalCharacter"/>
    <w:link w:val="Normal"/>
  </w:style>
  <w:style w:type="paragraph" w:styleId="Header">
    <w:name w:val="Header"/>
    <w:basedOn w:val="Normal"/>
    <w:next w:val="Header"/>
    <w:link w:val="Normal"/>
    <w:pPr>
      <w:rPr>
        <w:bdr w:space="31" w:color="000000" w:val="none" w:shadow="1" w:sz="0"/>
        <w:szCs w:val="18"/>
        <w:sz w:val="18"/>
        <w:kern w:val="2"/>
        <w:lang w:val="en-US" w:eastAsia="zh-CN" w:bidi="ar-SA"/>
        <w:rFonts w:ascii="Times New Roman" w:eastAsia="宋体" w:hAnsi="Times New Roman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bdr w:space="31" w:color="000000" w:val="none" w:shadow="1" w:sz="0"/>
      <w:szCs w:val="18"/>
      <w:sz w:val="18"/>
      <w:kern w:val="2"/>
      <w:lang w:val="en-US" w:eastAsia="zh-CN" w:bidi="ar-SA"/>
      <w:rFonts w:ascii="Times New Roman" w:eastAsia="宋体" w:hAnsi="Times New Roman"/>
    </w:rPr>
  </w:style>
  <w:style w:type="paragraph" w:styleId="Footer">
    <w:name w:val="Footer"/>
    <w:basedOn w:val="Normal"/>
    <w:next w:val="Footer"/>
    <w:link w:val="Normal"/>
    <w:pPr>
      <w:rPr>
        <w:szCs w:val="18"/>
        <w:sz w:val="18"/>
        <w:kern w:val="2"/>
        <w:lang w:val="en-US" w:eastAsia="zh-CN" w:bidi="ar-SA"/>
        <w:rFonts w:ascii="Times New Roman" w:eastAsia="宋体" w:hAnsi="Times New Roman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  <w:rFonts w:ascii="Times New Roman" w:eastAsia="宋体" w:hAnsi="Times New Roman"/>
    </w:rPr>
  </w:style>
  <w:style w:type="paragraph" w:styleId="Acetate">
    <w:name w:val="Acetate"/>
    <w:basedOn w:val="Normal"/>
    <w:next w:val="Acetate"/>
    <w:link w:val="Normal"/>
    <w:pPr>
      <w:rPr>
        <w:szCs w:val="18"/>
        <w:sz w:val="18"/>
        <w:kern w:val="2"/>
        <w:lang w:val="en-US" w:eastAsia="zh-CN" w:bidi="ar-SA"/>
        <w:rFonts w:ascii="Times New Roman" w:eastAsia="宋体" w:hAnsi="Times New Roman"/>
      </w:rPr>
      <w:jc w:val="both"/>
      <w:textAlignment w:val="baseline"/>
    </w:pPr>
    <w:rPr>
      <w:szCs w:val="18"/>
      <w:sz w:val="18"/>
      <w:kern w:val="2"/>
      <w:lang w:val="en-US" w:eastAsia="zh-CN" w:bidi="ar-SA"/>
      <w:rFonts w:ascii="Times New Roman" w:eastAsia="宋体" w:hAnsi="Times New Roman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Times New Roman" w:eastAsia="宋体" w:hAnsi="Times New Roman"/>
        </w:rPr>
        <w:jc w:val="center"/>
        <w:textAlignment w:val="baseline"/>
      </w:pPr>
    </w:p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Times New Roman" w:eastAsia="宋体" w:hAnsi="Times New Roman"/>
        </w:rPr>
        <w:jc w:val="center"/>
        <w:textAlignment w:val="baseline"/>
      </w:pPr>
    </w:p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Times New Roman" w:eastAsia="宋体" w:hAnsi="Times New Roman"/>
        </w:rPr>
        <w:jc w:val="center"/>
        <w:textAlignment w:val="baseline"/>
      </w:pPr>
      <w:r>
        <w:rPr>
          <w:rStyle w:val="NormalCharacter"/>
          <w:b/>
          <w:szCs w:val="44"/>
          <w:sz w:val="44"/>
          <w:kern w:val="2"/>
          <w:lang w:val="en-US" w:eastAsia="zh-CN" w:bidi="ar-SA"/>
          <w:rFonts w:ascii="Times New Roman" w:eastAsia="宋体" w:hAnsi="Times New Roman"/>
        </w:rPr>
        <w:t xml:space="preserve">关于做好近期外市来（返）锦</w:t>
      </w:r>
    </w:p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Times New Roman" w:eastAsia="宋体" w:hAnsi="Times New Roman"/>
        </w:rPr>
        <w:jc w:val="center"/>
        <w:textAlignment w:val="baseline"/>
      </w:pPr>
      <w:r>
        <w:rPr>
          <w:rStyle w:val="NormalCharacter"/>
          <w:b/>
          <w:szCs w:val="44"/>
          <w:sz w:val="44"/>
          <w:kern w:val="2"/>
          <w:lang w:val="en-US" w:eastAsia="zh-CN" w:bidi="ar-SA"/>
          <w:rFonts w:ascii="Times New Roman" w:eastAsia="宋体" w:hAnsi="Times New Roman"/>
        </w:rPr>
        <w:t xml:space="preserve">人员健康管理服务工作的通知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宋体" w:hAnsi="Times New Roman"/>
        </w:rPr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t xml:space="preserve">各县（市）区疫情防控指挥部，市总指挥部综合组各成员单位：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snapToGrid w:val="0"/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t xml:space="preserve">根据省疫情防控总指挥部文件要求，结合我市防控工作实际，现就域外疫情防控重点地区管控原则通知如下：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snapToGrid w:val="0"/>
        <w:ind w:firstLine="480" w:left="0" w:firstLineChars="15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宋体" w:hAnsi="Times New Roman"/>
        </w:rPr>
        <w:t xml:space="preserve"> 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Times New Roman"/>
        </w:rPr>
        <w:t xml:space="preserve">一、12月8日后大连市金普新区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t xml:space="preserve">来（返）锦人员，全部实施集中隔离医学观察，隔离期限至来（返）锦后满14天，期间进行2次核酸检测。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snapToGrid w:val="0"/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Times New Roman"/>
        </w:rPr>
        <w:t xml:space="preserve">二、12月6日后北京市朝阳区酒仙桥街道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t xml:space="preserve">来（返）锦人员，全部实施集中隔离医学观察，隔离期限至来（返）锦后满14天，期间进行2次核酸检测。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Times New Roman"/>
        </w:rPr>
        <w:snapToGrid w:val="0"/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Times New Roman"/>
        </w:rPr>
        <w:t xml:space="preserve">三、12月6日后北京市朝阳区（不含酒仙桥街道）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  <w:color w:val="000000"/>
        </w:rPr>
        <w:t xml:space="preserve">来（返）锦人员，持有效7日内核酸检测阴性证明（无核酸检测证明的应立即到有核酸检测资质的机构进行检测）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  <w:color w:val="000000"/>
        </w:rPr>
        <w:t xml:space="preserve">和健康通行绿码，纳入社区健康监控。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  <w:color w:val="000000"/>
        </w:rPr>
        <w:snapToGrid w:val="0"/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Times New Roman"/>
        </w:rPr>
        <w:t xml:space="preserve">四、12月2日后大连市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  <w:color w:val="000000"/>
        </w:rPr>
        <w:t xml:space="preserve">（不含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Times New Roman"/>
        </w:rPr>
        <w:t xml:space="preserve">金普新区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  <w:color w:val="000000"/>
        </w:rPr>
        <w:t xml:space="preserve">）来（返）锦人员，持有效7日内核酸检测阴性证明（无核酸检测证明的应立即到有核酸检测资质的机构进行检测）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  <w:color w:val="000000"/>
        </w:rPr>
        <w:t xml:space="preserve">和健康通行绿码，纳入社区健康监控。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snapToGrid w:val="0"/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t xml:space="preserve">五、11月30日后新疆吐鲁番市高昌区来（返）锦人员，全部实施集中隔离医学观察，隔离期限至来（返）锦后满14天，期间进行2次核酸检测。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  <w:color w:val="000000"/>
        </w:rPr>
        <w:snapToGrid w:val="0"/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t xml:space="preserve">六、11月30日后新疆吐鲁番市（不含高昌区）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  <w:color w:val="000000"/>
        </w:rPr>
        <w:t xml:space="preserve">来（返）锦人员，持有效7日内核酸检测阴性证明（无核酸检测证明的应立即到有核酸检测资质的机构进行检测）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  <w:color w:val="000000"/>
        </w:rPr>
        <w:t xml:space="preserve">和健康通行绿码，纳入社区健康监控。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snapToGrid w:val="0"/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t xml:space="preserve">七、11月27日后黑龙江省牡丹江市东宁市、绥芬河市来（返）锦人员，全部实施集中隔离医学观察，隔离期限至来（返）锦后满14天，期间进行2次核酸检测。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  <w:color w:val="000000"/>
        </w:rPr>
        <w:snapToGrid w:val="0"/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t xml:space="preserve">八、11月27日后黑龙江省牡丹江市（不含东宁市、绥芬河市）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  <w:color w:val="000000"/>
        </w:rPr>
        <w:t xml:space="preserve">来（返）锦人员，持有效7日内核酸检测阴性证明（无核酸检测证明的应立即到有核酸检测资质的机构进行检测）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  <w:color w:val="000000"/>
        </w:rPr>
        <w:t xml:space="preserve">和健康通行绿码，纳入社区健康监控。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snapToGrid w:val="0"/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t xml:space="preserve">九、11月25日后四川省成都市成华区来（返）锦人员，全部实施集中隔离医学观察，隔离期限至来（返）锦后满14天，期间进行2次核酸检测。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snapToGrid w:val="0"/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t xml:space="preserve">十、11月24日后四川省成都市郫都区来（返）锦人员，全部实施集中隔离医学观察，隔离期限至来（返）锦后满14天，期间进行2次核酸检测。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  <w:color w:val="000000"/>
        </w:rPr>
        <w:snapToGrid w:val="0"/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  <w:color w:val="000000"/>
        </w:rPr>
        <w:t xml:space="preserve">十一、11月24日后四川省成都市（不含郫都区、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t xml:space="preserve">成华区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  <w:color w:val="000000"/>
        </w:rPr>
        <w:t xml:space="preserve">）来（返）锦人员，持有效7日内核酸检测阴性证明（无核酸检测证明的应立即到有核酸检测资质的机构进行检测）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  <w:color w:val="000000"/>
        </w:rPr>
        <w:t xml:space="preserve">和健康通行绿码，纳入社区健康监控。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snapToGrid w:val="0"/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t xml:space="preserve">十二、11月8日后内蒙古呼伦贝尔满洲里市来（返）锦人员，全部实施集中隔离医学观察，隔离期限至来（返）锦后满14天，期间进行2次核酸检测。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snapToGrid w:val="0"/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t xml:space="preserve">十三、11月8日后内蒙古呼伦贝尔市来（返）锦人员，持有效7日内核酸检测阴性证明（无核酸检测证明的应立即到有核酸检测资质的机构进行检测）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t xml:space="preserve">和健康通行绿码，纳入社区健康监控。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snapToGrid w:val="0"/>
        <w:ind w:firstLine="640" w:firstLineChars="200"/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ind w:firstLine="63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t xml:space="preserve">我市人员非必要不要前往上述地区。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ind w:firstLine="630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ind w:leftChars="297" w:hanging="3040" w:left="3663" w:firstLineChars="-95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t xml:space="preserve">              锦州市统筹推进新冠肺炎疫情防控和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ind w:leftChars="1513" w:hanging="480" w:left="3657" w:firstLineChars="-15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t xml:space="preserve">经济社会发展工作总指挥部办公室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ind w:firstLine="63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t xml:space="preserve">                        2020年12月22日</w:t>
      </w: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treport/opRecord.xml>p_4(0);
</file>