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0"/>
          <w:szCs w:val="30"/>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bookmarkStart w:id="0" w:name="_GoBack"/>
      <w:r>
        <w:rPr>
          <w:rStyle w:val="5"/>
          <w:rFonts w:hint="eastAsia" w:ascii="宋体" w:hAnsi="宋体" w:eastAsia="宋体" w:cs="宋体"/>
          <w:b/>
          <w:i w:val="0"/>
          <w:caps w:val="0"/>
          <w:color w:val="333333"/>
          <w:spacing w:val="0"/>
          <w:sz w:val="30"/>
          <w:szCs w:val="30"/>
          <w:bdr w:val="none" w:color="auto" w:sz="0" w:space="0"/>
        </w:rPr>
        <w:t>江西省气象部门</w:t>
      </w:r>
      <w:bookmarkEnd w:id="0"/>
      <w:r>
        <w:rPr>
          <w:rStyle w:val="5"/>
          <w:rFonts w:hint="eastAsia" w:ascii="宋体" w:hAnsi="宋体" w:eastAsia="宋体" w:cs="宋体"/>
          <w:b/>
          <w:i w:val="0"/>
          <w:caps w:val="0"/>
          <w:color w:val="333333"/>
          <w:spacing w:val="0"/>
          <w:sz w:val="30"/>
          <w:szCs w:val="30"/>
          <w:bdr w:val="none" w:color="auto" w:sz="0" w:space="0"/>
        </w:rPr>
        <w:t>2021年公开招聘普通高校应届毕业生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bdr w:val="none" w:color="auto" w:sz="0" w:space="0"/>
        </w:rPr>
        <w:t>资格审查合格人员名单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bdr w:val="none" w:color="auto" w:sz="0" w:space="0"/>
        </w:rPr>
        <w:t>一、报考设区市局财务岗位人员名单</w:t>
      </w:r>
      <w:r>
        <w:rPr>
          <w:rFonts w:hint="eastAsia" w:ascii="宋体" w:hAnsi="宋体" w:eastAsia="宋体" w:cs="宋体"/>
          <w:i w:val="0"/>
          <w:caps w:val="0"/>
          <w:color w:val="333333"/>
          <w:spacing w:val="0"/>
          <w:sz w:val="30"/>
          <w:szCs w:val="30"/>
          <w:bdr w:val="none" w:color="auto" w:sz="0" w:space="0"/>
        </w:rPr>
        <w:t>（按姓氏笔画排序）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rPr>
        <w:t>习则易、习聪、王文涛、王奕斌、王浩夫、王逸晨、王颖、邓莹莹、邓楠、艾琳霖、左思雯、平耀东、卢素含、叶恬、付星月、付崇文、冯溪超、吕速飞、朱凯莉、朱颢瑜、朱鑫淼、任芳欣、华若冰、行如飞、刘子衿、刘仁芬、刘芸、刘佳艺、刘泽臻、刘思良、刘美玲、刘莹、刘铭栩、刘婧（1996.03）、刘婧（1998.01）、刘强、刘嘉欣、刘慧芳、汤洁怡、许艳颖、许智敏、苏钰、李叶红、李吉凤、李远航、李灵、李星辰、李群娣、李慧、李璐、杨宇豪、杨灵、杨昊月、杨昕、杨海芹、杨敏、杨琦、肖月、肖艾婧、肖晔、肖梅、肖琪、肖越、肖嵩、时月萌、时颖颖、吴小雨、吴欣、吴洁、吴静、吴璠、何小琼、但雯萱、余俊超、余楠欣、邹楠、邹鹏、辛雅群、汪佳君、沙蕴新、宋云鹏、张文菁、张龙砚、张声亮、张盈盈、张艳敏、张钰卿、张倚嘉、张海芹、张梓、张博雯、张裕彗、陈文俊、陈亦民、陈阳、陈微、陈薇、陈麒、林艺芳、欧阳灵慧、罗希慧羚、金辛玫、周方韬、周芸、周含蕊、周启平、周炽娟、周倚帆、周涛、周颖欣、周鑫、郑子欣、郑晨、赵子莹、赵佳敏、赵欣甜、胡建清、胡海燕、胡雅萍、钟志颖、钟蕊、段林赟、饶梦书、施敏、袁明锐、贾锦梅、夏晴晴、钱羽笛、徐安生、徐周芳、徐梦琴、徐澎光、徐懿晨、殷梁、高晟、高雪珺、郭丽、郭林辉、郭琳璇、涂金莲、黄子钰、黄玉娥、黄萌、黄筱、黄鑫、曹然、眭高雯、章文、章曾佩、谌至立、颉雯菁、彭仪婷、彭婷、董郭菲、蒋婷、韩梦梦、喻雅菲、程萌萌、曾丽、谢静、阙柯瑜、蔡云婷、廖泓睿、赛米热·吐逊江、谭睿、潘雪、魏春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0"/>
          <w:szCs w:val="30"/>
          <w:bdr w:val="none" w:color="auto" w:sz="0" w:space="0"/>
        </w:rPr>
        <w:t>二、报考其他岗位人员名单</w:t>
      </w:r>
      <w:r>
        <w:rPr>
          <w:rFonts w:hint="eastAsia" w:ascii="宋体" w:hAnsi="宋体" w:eastAsia="宋体" w:cs="宋体"/>
          <w:i w:val="0"/>
          <w:caps w:val="0"/>
          <w:color w:val="333333"/>
          <w:spacing w:val="0"/>
          <w:sz w:val="30"/>
          <w:szCs w:val="30"/>
          <w:bdr w:val="none" w:color="auto" w:sz="0" w:space="0"/>
        </w:rPr>
        <w:t>（按姓氏笔画排序）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rPr>
        <w:t>王丽、王启、王昆、王泽群、王施霁、王慧、邓超、艾正敏、古亭亭、龙琨、白云、白婷婷、冯丽红、吕政、朱志彬、朱祉茜、朱恒杰、朱凌骏、朱梦、朱婉、刘文安、刘亚沁、刘伟涛、刘华霖、刘明霞、刘佳俊、刘金昊、刘洪婷、刘航、刘家豪、刘逸凯、刘磊、江园英、江鸿菲、孙欢、孙起玄、杜瑾、李正陈、李芳芳、李春彬、李珂悦、李雁、李强、李静婉、李慧恒、杨栋才、杨晓青、杨源鸿、肖玉佩、肖芬、肖星、肖健、吴勇、吴霞、吴灏、余小军、余琪琳、余慧、汪洲、张晋、张浩文、张敏婧、张媛、阿依努尔·多力坤、陈小丹、陈仁、陈正华、陈龙、陈成、陈坤灵、陈建双、陈建龙、陈浩、陈蔚旻、陈睿、易少林、罗来权、周之建、周文亮、周勇、周海慧、郑声声、郑清杰、赵奕婷、胡可、胡军、胡勇、胡桢巍、胡常礼、钟雨婷、姜彦、姚鸿飞、贺铜军、袁甲坤、袁景文、贾金菲、徐少卿、徐卓群、殷有民、郭锦明、唐叶沛、涂丁洋、陶雨静、黄宏杰、曹梦园、曹敏珍、谌宇轩、彭坤、彭杰、董丰凯、韩旺君、程伟豪、游陈、谢上润、谢龙云、谢星、谢鑫、赖翔宇、鲍琴、臧芳慧、熊潘霞、魏成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4"/>
          <w:szCs w:val="24"/>
          <w:bdr w:val="none" w:color="auto" w:sz="0" w:space="0"/>
        </w:rPr>
        <w:t>备注：</w:t>
      </w:r>
      <w:r>
        <w:rPr>
          <w:rFonts w:hint="eastAsia" w:ascii="宋体" w:hAnsi="宋体" w:eastAsia="宋体" w:cs="宋体"/>
          <w:i w:val="0"/>
          <w:caps w:val="0"/>
          <w:color w:val="333333"/>
          <w:spacing w:val="0"/>
          <w:sz w:val="24"/>
          <w:szCs w:val="24"/>
          <w:bdr w:val="none" w:color="auto" w:sz="0" w:space="0"/>
        </w:rPr>
        <w:t>以上名单不包含自愿放弃人员名单。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ascii="微软雅黑" w:hAnsi="微软雅黑" w:eastAsia="微软雅黑" w:cs="微软雅黑"/>
          <w:i w:val="0"/>
          <w:caps w:val="0"/>
          <w:color w:val="333333"/>
          <w:spacing w:val="0"/>
          <w:sz w:val="27"/>
          <w:szCs w:val="27"/>
          <w:bdr w:val="none" w:color="auto" w:sz="0" w:space="0"/>
        </w:rPr>
        <w:t>附件</w:t>
      </w:r>
      <w:r>
        <w:rPr>
          <w:rFonts w:hint="eastAsia" w:ascii="微软雅黑" w:hAnsi="微软雅黑" w:eastAsia="微软雅黑" w:cs="微软雅黑"/>
          <w:i w:val="0"/>
          <w:caps w:val="0"/>
          <w:color w:val="333333"/>
          <w:spacing w:val="0"/>
          <w:sz w:val="27"/>
          <w:szCs w:val="27"/>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ascii="黑体" w:hAnsi="宋体" w:eastAsia="黑体" w:cs="黑体"/>
          <w:b/>
          <w:i w:val="0"/>
          <w:caps w:val="0"/>
          <w:color w:val="333333"/>
          <w:spacing w:val="0"/>
          <w:sz w:val="31"/>
          <w:szCs w:val="31"/>
          <w:bdr w:val="none" w:color="auto" w:sz="0" w:space="0"/>
        </w:rPr>
        <w:t>健康状况登记表和健康承诺书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 w:lineRule="atLeast"/>
        <w:ind w:left="0" w:right="0" w:firstLine="0"/>
        <w:jc w:val="left"/>
        <w:rPr>
          <w:rFonts w:hint="eastAsia" w:ascii="微软雅黑" w:hAnsi="微软雅黑" w:eastAsia="微软雅黑" w:cs="微软雅黑"/>
          <w:i w:val="0"/>
          <w:caps w:val="0"/>
          <w:color w:val="333333"/>
          <w:spacing w:val="0"/>
          <w:sz w:val="21"/>
          <w:szCs w:val="21"/>
        </w:rPr>
      </w:pPr>
      <w:r>
        <w:rPr>
          <w:rStyle w:val="5"/>
          <w:rFonts w:hint="eastAsia" w:ascii="黑体" w:hAnsi="宋体" w:eastAsia="黑体" w:cs="黑体"/>
          <w:b/>
          <w:i w:val="0"/>
          <w:caps w:val="0"/>
          <w:color w:val="333333"/>
          <w:spacing w:val="0"/>
          <w:sz w:val="31"/>
          <w:szCs w:val="31"/>
          <w:bdr w:val="none" w:color="auto" w:sz="0" w:space="0"/>
        </w:rPr>
        <w:t> </w:t>
      </w:r>
    </w:p>
    <w:tbl>
      <w:tblPr>
        <w:tblW w:w="8520" w:type="dxa"/>
        <w:jc w:val="center"/>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0"/>
        <w:gridCol w:w="1335"/>
        <w:gridCol w:w="228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79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华文仿宋" w:hAnsi="华文仿宋" w:eastAsia="华文仿宋" w:cs="华文仿宋"/>
                <w:sz w:val="31"/>
                <w:szCs w:val="31"/>
                <w:bdr w:val="none" w:color="auto" w:sz="0" w:space="0"/>
              </w:rPr>
              <w:t>姓  名</w:t>
            </w:r>
          </w:p>
        </w:tc>
        <w:tc>
          <w:tcPr>
            <w:tcW w:w="1335"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jc w:val="left"/>
            </w:pPr>
          </w:p>
        </w:tc>
        <w:tc>
          <w:tcPr>
            <w:tcW w:w="228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华文仿宋" w:hAnsi="华文仿宋" w:eastAsia="华文仿宋" w:cs="华文仿宋"/>
                <w:sz w:val="31"/>
                <w:szCs w:val="31"/>
                <w:bdr w:val="none" w:color="auto" w:sz="0" w:space="0"/>
              </w:rPr>
              <w:t>联系电话</w:t>
            </w:r>
          </w:p>
        </w:tc>
        <w:tc>
          <w:tcPr>
            <w:tcW w:w="2115"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27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华文仿宋" w:hAnsi="华文仿宋" w:eastAsia="华文仿宋" w:cs="华文仿宋"/>
                <w:sz w:val="31"/>
                <w:szCs w:val="31"/>
                <w:bdr w:val="none" w:color="auto" w:sz="0" w:space="0"/>
              </w:rPr>
              <w:t>报名岗位</w:t>
            </w:r>
          </w:p>
        </w:tc>
        <w:tc>
          <w:tcPr>
            <w:tcW w:w="5730" w:type="dxa"/>
            <w:gridSpan w:val="3"/>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27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华文仿宋" w:hAnsi="华文仿宋" w:eastAsia="华文仿宋" w:cs="华文仿宋"/>
                <w:sz w:val="31"/>
                <w:szCs w:val="31"/>
                <w:bdr w:val="none" w:color="auto" w:sz="0" w:space="0"/>
              </w:rPr>
              <w:t>近14天内体温有无异常</w:t>
            </w:r>
          </w:p>
        </w:tc>
        <w:tc>
          <w:tcPr>
            <w:tcW w:w="5730" w:type="dxa"/>
            <w:gridSpan w:val="3"/>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华文仿宋" w:hAnsi="华文仿宋" w:eastAsia="华文仿宋" w:cs="华文仿宋"/>
                <w:sz w:val="31"/>
                <w:szCs w:val="31"/>
                <w:bdr w:val="none" w:color="auto" w:sz="0" w:space="0"/>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7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近14天内有无进出新型冠状病毒肺炎疫情中高风险地区</w:t>
            </w:r>
          </w:p>
        </w:tc>
        <w:tc>
          <w:tcPr>
            <w:tcW w:w="5730" w:type="dxa"/>
            <w:gridSpan w:val="3"/>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华文仿宋" w:hAnsi="华文仿宋" w:eastAsia="华文仿宋" w:cs="华文仿宋"/>
                <w:sz w:val="31"/>
                <w:szCs w:val="31"/>
                <w:bdr w:val="none" w:color="auto" w:sz="0" w:space="0"/>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7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有无接触疑似、确诊新型冠状病毒肺炎患者史</w:t>
            </w:r>
          </w:p>
        </w:tc>
        <w:tc>
          <w:tcPr>
            <w:tcW w:w="5730" w:type="dxa"/>
            <w:gridSpan w:val="3"/>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jc w:val="center"/>
            </w:pPr>
            <w:r>
              <w:rPr>
                <w:rFonts w:hint="eastAsia" w:ascii="华文仿宋" w:hAnsi="华文仿宋" w:eastAsia="华文仿宋" w:cs="华文仿宋"/>
                <w:sz w:val="31"/>
                <w:szCs w:val="31"/>
                <w:bdr w:val="none" w:color="auto" w:sz="0" w:space="0"/>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8520" w:type="dxa"/>
            <w:gridSpan w:val="4"/>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目前健康状况（有则打“√”，可多选）：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发热（  ）  咳嗽（  ）  咽痛（  ）      胸闷（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腹泻（  ）  头痛（  ）  呼吸困难（  ）  恶心呕吐（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279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华文仿宋" w:hAnsi="华文仿宋" w:eastAsia="华文仿宋" w:cs="华文仿宋"/>
                <w:sz w:val="31"/>
                <w:szCs w:val="31"/>
                <w:bdr w:val="none" w:color="auto" w:sz="0" w:space="0"/>
              </w:rPr>
              <w:t>其他需要说明情况</w:t>
            </w:r>
          </w:p>
        </w:tc>
        <w:tc>
          <w:tcPr>
            <w:tcW w:w="5730" w:type="dxa"/>
            <w:gridSpan w:val="3"/>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top"/>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      本人承诺以上提供的资料真实准确。如有不实，本人愿承担由此引起的一切后果及法律责任。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承诺人签名：                  日期：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31"/>
          <w:szCs w:val="31"/>
          <w:bdr w:val="none" w:color="auto" w:sz="0" w:space="0"/>
        </w:rPr>
        <w:t>南昌市新冠肺炎疫情风险提示（第96号）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12月14日，新冠肺炎疫情中高风险、重点地区名单及有关工作要求如下 ：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一、疫情高中风险及重点地区名单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（一）疫情高风险地区（有以下地区旅居史的来昌返昌人员）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1、新疆吐鲁番市高昌区红盾小区（11月28日以来）。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2、黑龙江牡丹江市绥芬河市海融富华苑小区、机务段铁路综合楼（11月28日以来），绥芬河市青云小区、牡丹江市东宁市中心社区（11月25日以来）。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3、四川成都郫都区犀浦街道犀池社区二组（11月26日以来）、郫都区郫筒街道菠萝社区中铁奥维尔二期、三期（11月25日以来）、  郫都区唐昌镇永安村8组（11月24日以来）、成华区崔家店华都云景台小区（11月24日以来）、郫都区郫筒街道太平村（11月23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4、内蒙古呼伦贝尔市扎赉诺尔区第三街道和第五街道（11月20日以来）、扎赉诺尔区第四街道办事处（11月14日以来）、满洲里市东山街道办事处和北区街道办事处（11月7日以来）。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（二）疫情中风险地区（有以下地区旅居史的来昌返昌人员）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1、新疆吐鲁番市高昌区（11月28日以来）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2、黑龙江牡丹江市绥芬河市、东宁市（11月25日以来）。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3、四川成都成华区崔家店（11月24日以来）、郫都区（11月23日以来）。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4、内蒙古呼伦贝尔市满洲里市、扎赉诺尔区 （11月7日以来）。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5、澳门（参照中风险人员管理）。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（三）重点地区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边防陆路口岸城市：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新疆、广西、云南、内蒙古、黑龙江、吉林、辽宁等有陆路口岸的地级市（实施动态调整）。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二、落实部门、单位、社区责任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1、对所有在国内第一入境点解除隔离后入昌人员，按照“属地管理”原则，要安排专人专车第一时间将其转运至集中隔离点，24小时内完成1次核酸检测，结果未出之前，不得离开集中隔离点。社区（村组）对其做好3个月的随访管理，分别在第1、2、3、4、8、12周督促其进行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2、各社区对所有上述中高险地区来昌返昌人员进行排查。对近7日内无核酸检测阴性报告的人员组织开展核酸检测。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3、单位、社区对持有核酸检测结果阴性的中高风险、重点地区等人员，可动员高风险地区人员按照“愿检尽检”原则再次接受核酸、抗体检测1次，对来自中风险、重点地区人员可有序流动。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4、对上述人员在做好排查、检测的基础上，同时要做好14天健康监测，告知个人防护要求和注意事项等。如上述人员出现发热等症状的，本单位或本社区要立即向属地疾控部门报告。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5、全市各医疗机构、发热门诊在接诊发热病例时，应主动询问有无中高风险旅居史或人员接触史，如为上述人员的，必须严格落实核酸检测“应检尽检”，落实闭环管理、严格排除。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6、对可提供七天内核酸检测阴性报告的中高风险地区的人员或从重点地区来昌人员，社区、单位等不得再让其提供核酸检测报告，且不得以提供核酸检测报告为由拒绝办理宾馆入住、会议培训、公交出行等。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7、未经许可，任何单位不得擅自发布排查工作相关信息、日报表等。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三、落实个人责任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1、所有在国内第一入境点解除隔离后入昌人员，要在入昌后24小时内进行1次核酸检测，并落实14天的个人居家自我隔离。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2、所有中高风险、重点地区来昌人员，入昌后应第一时间主动、如实向所在单位或社区登记，如实报告14天内个人旅居史。所有澳门入昌人员，须承诺入昌前14天内无外国或其他境外地区旅居史。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3、对有中高风险地区旅居史的，要提供到昌前七日内核酸检测结果阴性证明和健康码绿码，如无法提供的，按“应检尽检”原则检测至少1次，期间实施相对集中隔离（居家、酒店、单位等），检测结果阴性者方可外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4、上述人员在昌期间出现发热、呼吸道等可疑症状，必须做好个人防护并及时前往定点发热门诊就医，同时向单位或社区报告。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华文仿宋" w:hAnsi="华文仿宋" w:eastAsia="华文仿宋" w:cs="华文仿宋"/>
          <w:i w:val="0"/>
          <w:caps w:val="0"/>
          <w:color w:val="333333"/>
          <w:spacing w:val="0"/>
          <w:sz w:val="31"/>
          <w:szCs w:val="31"/>
          <w:bdr w:val="none" w:color="auto" w:sz="0" w:space="0"/>
        </w:rPr>
        <w:t>    5、建议如非必要，近期不要前往国内疫情中高风险区，如确需前往，请务必做好个人防护。返昌后，应主动配合落实相关防控措施。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4DEE"/>
    <w:rsid w:val="16BE4D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2020-12-16T08:29:00Z</dcterms:created>
  <dc:creator>写在白纸上的字</dc:creator>
  <cp:lastModifiedBy>写在白纸上的字</cp:lastModifiedBy>
  <dcterms:modified xsi:type="dcterms:W3CDTF">2020-12-16T08:29:42Z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