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“粤康码”使用指引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及注意事项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根据疫情防控要求，报考深圳市龙华区2020年12月公开招聘专业聘用人员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考试的所有考生都需注册“粤康码”。未在报名期间注册粤康码的考生，不允许参加考试。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具体操作流程说明：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“粤康码”操作指引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“粤康码”访问入口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扫码访问“粤康码”服务（方式一） 使用微信扫粤康码小程序码，即可打开“粤康码”服务界面。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371475</wp:posOffset>
            </wp:positionV>
            <wp:extent cx="2683510" cy="3077845"/>
            <wp:effectExtent l="0" t="0" r="13970" b="63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 1-1 粤康码小程序码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通过“粤省事”平台进入“粤康码”服务（方式二） 在微信搜索“粤省事”小程序，打开小程序后点击“粤康码” 入口即可，或在“疫情防控服务专区”页面进入“粤康码”服务。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1417955</wp:posOffset>
            </wp:positionH>
            <wp:positionV relativeFrom="paragraph">
              <wp:posOffset>198755</wp:posOffset>
            </wp:positionV>
            <wp:extent cx="2096135" cy="3926205"/>
            <wp:effectExtent l="0" t="0" r="6985" b="571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1-2 粤省事小程序首页“粤康码”入口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2015616" behindDoc="1" locked="0" layoutInCell="1" allowOverlap="1">
            <wp:simplePos x="0" y="0"/>
            <wp:positionH relativeFrom="column">
              <wp:posOffset>1392555</wp:posOffset>
            </wp:positionH>
            <wp:positionV relativeFrom="paragraph">
              <wp:posOffset>8255</wp:posOffset>
            </wp:positionV>
            <wp:extent cx="2092960" cy="3693795"/>
            <wp:effectExtent l="0" t="0" r="0" b="0"/>
            <wp:wrapThrough wrapText="bothSides">
              <wp:wrapPolygon>
                <wp:start x="0" y="0"/>
                <wp:lineTo x="0" y="21477"/>
                <wp:lineTo x="21390" y="21477"/>
                <wp:lineTo x="21390" y="0"/>
                <wp:lineTo x="0" y="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36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 1-3 “疫情防控服务专区”页面“粤康码”入口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查看“粤康码”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扫码或点击“粤康码”入口后，可进入登录页面，按以下步骤完成操作。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进入选择“登录方式”，选择“人脸识别登录”或“微信支付密码登录”方式，进入下一步；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若采用人脸识别登录，建议在刷脸过程中临时取下口罩，便于识别。如果微信支付密码无法通过认证，请确认是否为 本人登录及绑定本人的银行卡（微信支付密码认证不会产生任何扣费行为）。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2041216" behindDoc="1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2451100</wp:posOffset>
            </wp:positionV>
            <wp:extent cx="3463925" cy="2225675"/>
            <wp:effectExtent l="0" t="0" r="10795" b="14605"/>
            <wp:wrapThrough wrapText="bothSides">
              <wp:wrapPolygon>
                <wp:start x="0" y="0"/>
                <wp:lineTo x="0" y="21446"/>
                <wp:lineTo x="21477" y="21446"/>
                <wp:lineTo x="21477" y="0"/>
                <wp:lineTo x="0" y="0"/>
              </wp:wrapPolygon>
            </wp:wrapThrough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2027904" behindDoc="0" locked="0" layoutInCell="1" allowOverlap="1">
            <wp:simplePos x="0" y="0"/>
            <wp:positionH relativeFrom="column">
              <wp:posOffset>1202690</wp:posOffset>
            </wp:positionH>
            <wp:positionV relativeFrom="paragraph">
              <wp:posOffset>54610</wp:posOffset>
            </wp:positionV>
            <wp:extent cx="2624455" cy="2429510"/>
            <wp:effectExtent l="0" t="0" r="12065" b="889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 xml:space="preserve"> 身份证人脸识别登录登录步骤指引界面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drawing>
          <wp:anchor distT="0" distB="0" distL="114300" distR="114300" simplePos="0" relativeHeight="252426240" behindDoc="0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139065</wp:posOffset>
            </wp:positionV>
            <wp:extent cx="3411855" cy="6346825"/>
            <wp:effectExtent l="0" t="0" r="1905" b="8255"/>
            <wp:wrapTopAndBottom/>
            <wp:docPr id="2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634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 xml:space="preserve"> 身份证微信支付登录登录步骤指引界面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“粤康码”功能及使用说明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出示“粤康码”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346075</wp:posOffset>
            </wp:positionV>
            <wp:extent cx="2756535" cy="5034915"/>
            <wp:effectExtent l="0" t="0" r="1905" b="952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50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 xml:space="preserve"> 出示粤康码界面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“粤康码”样式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确诊或诊断阳性、疑似病例、密切接触者、疫情地高风险来粤人员、集中隔离人口、居家隔离人员等人群“粤康码”背景色和二维码颜色均为红色，即红码。对于红码，可进一步查看标识 为红色的原因及解除红码的指引。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2482560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245110</wp:posOffset>
            </wp:positionV>
            <wp:extent cx="4942840" cy="4988560"/>
            <wp:effectExtent l="0" t="0" r="10160" b="1016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49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 xml:space="preserve"> 粤康码颜色及背景色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headerReference r:id="rId3" w:type="default"/>
      <w:pgSz w:w="11906" w:h="16838"/>
      <w:pgMar w:top="850" w:right="1800" w:bottom="850" w:left="1800" w:header="283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雅酷黑 75W">
    <w:altName w:val="黑体"/>
    <w:panose1 w:val="020B0804020202020204"/>
    <w:charset w:val="86"/>
    <w:family w:val="auto"/>
    <w:pitch w:val="default"/>
    <w:sig w:usb0="00000000" w:usb1="00000000" w:usb2="00000016" w:usb3="00000000" w:csb0="2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Theme="minorEastAsia"/>
        <w:lang w:eastAsia="zh-CN"/>
      </w:rPr>
    </w:pPr>
    <w:r>
      <w:rPr>
        <w:sz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1117600" cy="303530"/>
              <wp:effectExtent l="0" t="0" r="0" b="0"/>
              <wp:wrapNone/>
              <wp:docPr id="29" name="组合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7600" cy="303530"/>
                        <a:chOff x="4728" y="1163"/>
                        <a:chExt cx="1760" cy="478"/>
                      </a:xfrm>
                    </wpg:grpSpPr>
                    <wps:wsp>
                      <wps:cNvPr id="30" name="矩形 2"/>
                      <wps:cNvSpPr/>
                      <wps:spPr>
                        <a:xfrm>
                          <a:off x="4728" y="1163"/>
                          <a:ext cx="1760" cy="4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31" name="文本框 3"/>
                      <wps:cNvSpPr txBox="1"/>
                      <wps:spPr>
                        <a:xfrm>
                          <a:off x="4748" y="1171"/>
                          <a:ext cx="1719" cy="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汉仪雅酷黑 75W" w:hAnsi="汉仪雅酷黑 75W" w:eastAsia="汉仪雅酷黑 75W" w:cs="汉仪雅酷黑 75W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53.65pt;margin-top:18.6pt;height:23.9pt;width:88pt;mso-position-horizontal-relative:page;mso-position-vertical-relative:page;z-index:251659264;mso-width-relative:page;mso-height-relative:page;" coordorigin="4728,1163" coordsize="1760,478" o:gfxdata="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Dde8+W1QAAAAQBAAAPAAAAAAAAAAEAIAAA&#10;ACIAAABkcnMvZG93bnJldi54bWxQSwECFAAUAAAACACHTuJAvOzkeiwDAABVCAAADgAAAAAAAAAB&#10;ACAAAAAkAQAAZHJzL2Uyb0RvYy54bWxQSwUGAAAAAAYABgBZAQAAwgYAAAAA&#10;">
              <o:lock v:ext="edit" aspectratio="f"/>
              <v:rect id="矩形 2" o:spid="_x0000_s1026" o:spt="1" style="position:absolute;left:4728;top:1163;height:478;width:1760;v-text-anchor:middle;" fillcolor="#FFFFFF [3212]" filled="t" stroked="f" coordsize="21600,21600" o:gfxdata="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e0vXbsAAADb&#10;AAAADwAAAAAAAAABACAAAAAiAAAAZHJzL2Rvd25yZXYueG1sUEsBAhQAFAAAAAgAh07iQDMvBZ47&#10;AAAAOQAAABAAAAAAAAAAAQAgAAAACgEAAGRycy9zaGFwZXhtbC54bWxQSwUGAAAAAAYABgBbAQAA&#10;tAMAAAAA&#10;">
                <v:fill on="t" opacity="0f" focussize="0,0"/>
                <v:stroke on="f" weight="1pt" miterlimit="8" joinstyle="miter"/>
                <v:imagedata o:title=""/>
                <o:lock v:ext="edit" aspectratio="f"/>
              </v:rect>
              <v:shape id="文本框 3" o:spid="_x0000_s1026" o:spt="202" type="#_x0000_t202" style="position:absolute;left:4748;top:1171;height:461;width:1719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汉仪雅酷黑 75W" w:hAnsi="汉仪雅酷黑 75W" w:eastAsia="汉仪雅酷黑 75W" w:cs="汉仪雅酷黑 75W"/>
                          <w:lang w:val="en-US" w:eastAsia="zh-C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5314950" cy="0"/>
              <wp:effectExtent l="0" t="0" r="0" b="0"/>
              <wp:wrapNone/>
              <wp:docPr id="32" name="直接连接符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59510" y="897890"/>
                        <a:ext cx="5314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0000_s1026" o:spid="_x0000_s1026" o:spt="20" style="position:absolute;left:0pt;margin-left:90pt;margin-top:42.5pt;height:0pt;width:418.5pt;mso-position-horizontal-relative:page;mso-position-vertical-relative:page;z-index:251658240;mso-width-relative:margin;mso-height-relative:page;mso-width-percent:1000;" filled="f" stroked="t" coordsize="21600,21600" o:gfxdata="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HeeLX0wAAAAIBAAAPAAAAAAAAAAEAIAAAACIA&#10;AABkcnMvZG93bnJldi54bWxQSwECFAAUAAAACACHTuJA9jcuA9UBAABwAwAADgAAAAAAAAABACAA&#10;AAAiAQAAZHJzL2Uyb0RvYy54bWxQSwUGAAAAAAYABgBZAQAAaQUAAAAA&#10;">
              <v:fill on="f" focussize="0,0"/>
              <v:stroke color="#000000 [3213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27CDBE"/>
    <w:multiLevelType w:val="singleLevel"/>
    <w:tmpl w:val="8127CDB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B892677C"/>
    <w:multiLevelType w:val="singleLevel"/>
    <w:tmpl w:val="B892677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E9ED8DAE"/>
    <w:multiLevelType w:val="singleLevel"/>
    <w:tmpl w:val="E9ED8DA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2099996F"/>
    <w:multiLevelType w:val="singleLevel"/>
    <w:tmpl w:val="2099996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3288F0D9"/>
    <w:multiLevelType w:val="singleLevel"/>
    <w:tmpl w:val="3288F0D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23EB9"/>
    <w:rsid w:val="03831CF1"/>
    <w:rsid w:val="075521B2"/>
    <w:rsid w:val="0A044943"/>
    <w:rsid w:val="0A46278A"/>
    <w:rsid w:val="0AA54C01"/>
    <w:rsid w:val="0B720325"/>
    <w:rsid w:val="139A34AB"/>
    <w:rsid w:val="1474300B"/>
    <w:rsid w:val="18F01957"/>
    <w:rsid w:val="1D556748"/>
    <w:rsid w:val="1E22532E"/>
    <w:rsid w:val="216B51B9"/>
    <w:rsid w:val="2451152D"/>
    <w:rsid w:val="2650339F"/>
    <w:rsid w:val="39442360"/>
    <w:rsid w:val="399B3EC8"/>
    <w:rsid w:val="39CC1B14"/>
    <w:rsid w:val="3ED06C72"/>
    <w:rsid w:val="42586C17"/>
    <w:rsid w:val="4396596F"/>
    <w:rsid w:val="4A016412"/>
    <w:rsid w:val="4EF44AEB"/>
    <w:rsid w:val="50F8054D"/>
    <w:rsid w:val="53BE5B47"/>
    <w:rsid w:val="54A667C2"/>
    <w:rsid w:val="54D17968"/>
    <w:rsid w:val="55E56AA1"/>
    <w:rsid w:val="58DF6346"/>
    <w:rsid w:val="5B9A1157"/>
    <w:rsid w:val="5DC06CF9"/>
    <w:rsid w:val="5DDF6A5C"/>
    <w:rsid w:val="60474766"/>
    <w:rsid w:val="65C549B4"/>
    <w:rsid w:val="66C978DF"/>
    <w:rsid w:val="67B5112E"/>
    <w:rsid w:val="68483FAD"/>
    <w:rsid w:val="686602BA"/>
    <w:rsid w:val="694F1597"/>
    <w:rsid w:val="69D32714"/>
    <w:rsid w:val="6C655EF8"/>
    <w:rsid w:val="6E145086"/>
    <w:rsid w:val="6F242C23"/>
    <w:rsid w:val="73005750"/>
    <w:rsid w:val="73E93F81"/>
    <w:rsid w:val="78DE6782"/>
    <w:rsid w:val="79EA27FC"/>
    <w:rsid w:val="7A516AB5"/>
    <w:rsid w:val="7DC8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200" w:beforeLines="0" w:beforeAutospacing="0" w:after="200" w:afterLines="0" w:afterAutospacing="0" w:line="576" w:lineRule="auto"/>
      <w:outlineLvl w:val="0"/>
    </w:pPr>
    <w:rPr>
      <w:rFonts w:asciiTheme="minorAscii" w:hAnsiTheme="minorAscii" w:eastAsiaTheme="majorEastAsia"/>
      <w:b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80" w:beforeLines="0" w:beforeAutospacing="0" w:after="80" w:afterLines="0" w:afterAutospacing="0" w:line="120" w:lineRule="auto"/>
      <w:outlineLvl w:val="1"/>
    </w:pPr>
    <w:rPr>
      <w:rFonts w:ascii="Arial" w:hAnsi="Arial" w:eastAsia="楷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905</Words>
  <Characters>943</Characters>
  <Lines>0</Lines>
  <Paragraphs>0</Paragraphs>
  <TotalTime>2</TotalTime>
  <ScaleCrop>false</ScaleCrop>
  <LinksUpToDate>false</LinksUpToDate>
  <CharactersWithSpaces>977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陈能平</cp:lastModifiedBy>
  <dcterms:modified xsi:type="dcterms:W3CDTF">2020-12-14T08:09:39Z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