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ascii="黑体" w:hAnsi="黑体" w:eastAsia="黑体"/>
          <w:sz w:val="24"/>
          <w:szCs w:val="24"/>
        </w:rPr>
        <w:t>2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ind w:firstLine="560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学籍管理部门</w:t>
      </w:r>
    </w:p>
    <w:p>
      <w:pPr>
        <w:spacing w:line="480" w:lineRule="auto"/>
        <w:ind w:firstLine="6720" w:firstLineChars="28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注：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1.本证明仅供</w:t>
      </w:r>
      <w:r>
        <w:rPr>
          <w:rFonts w:hint="eastAsia" w:ascii="仿宋_GB2312" w:hAnsi="仿宋_GB2312" w:eastAsia="仿宋_GB2312" w:cs="仿宋_GB2312"/>
          <w:sz w:val="21"/>
          <w:szCs w:val="21"/>
        </w:rPr>
        <w:t>广东省内普通高等学校三年级及以上的全日制学生、毕业学年的全日制专科生、幼儿师范学校毕业学年全日制学生以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及全日制研究生报考全国中小学教师资格考试使用;</w:t>
      </w:r>
    </w:p>
    <w:p>
      <w:pPr>
        <w:spacing w:line="360" w:lineRule="auto"/>
        <w:ind w:firstLine="371" w:firstLineChars="177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2.本证明由考生所在学校学籍管理部门或教学管理部门盖章后生效，二级学院盖章无效;</w:t>
      </w:r>
    </w:p>
    <w:p>
      <w:pPr>
        <w:spacing w:line="360" w:lineRule="auto"/>
        <w:ind w:firstLine="315" w:firstLineChars="15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３.如因学籍证明信息差错造成的遗留问题由考生及所在院校负责;</w:t>
      </w:r>
    </w:p>
    <w:p>
      <w:pPr>
        <w:spacing w:line="360" w:lineRule="auto"/>
        <w:ind w:firstLine="315" w:firstLineChars="15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４.报名中小学教师资格考试现场确认时，须提交此证明原件。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F6CF1"/>
    <w:rsid w:val="56A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2020-12-03T02:19:00Z</dcterms:created>
  <dc:creator>周雪佳</dc:creator>
  <cp:lastModifiedBy>周雪佳</cp:lastModifiedBy>
  <dcterms:modified xsi:type="dcterms:W3CDTF">2020-12-03T02:20:15Z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