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90" w:lineRule="exact"/>
        <w:jc w:val="both"/>
        <w:textAlignment w:val="auto"/>
        <w:rPr>
          <w:rFonts w:hint="eastAsia" w:ascii="方正黑体_GBK" w:hAnsi="方正黑体_GBK" w:eastAsia="方正黑体_GBK" w:cs="方正黑体_GBK"/>
          <w:color w:val="000000"/>
          <w:sz w:val="33"/>
          <w:szCs w:val="33"/>
          <w:lang w:val="en-US" w:eastAsia="zh-CN"/>
        </w:rPr>
      </w:pPr>
      <w:r>
        <w:rPr>
          <w:rFonts w:hint="eastAsia" w:ascii="方正黑体_GBK" w:hAnsi="方正黑体_GBK" w:eastAsia="方正黑体_GBK" w:cs="方正黑体_GBK"/>
          <w:color w:val="000000"/>
          <w:sz w:val="33"/>
          <w:szCs w:val="33"/>
          <w:lang w:val="en-US" w:eastAsia="zh-CN"/>
        </w:rPr>
        <w:t>附件1</w:t>
      </w: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val="en-US" w:eastAsia="zh-CN"/>
        </w:rPr>
        <w:t>2020年邻水县乡镇事业单位面向服务基层项目人员和退役大学生士兵</w:t>
      </w:r>
    </w:p>
    <w:p>
      <w:pPr>
        <w:keepNext w:val="0"/>
        <w:keepLines w:val="0"/>
        <w:pageBreakBefore w:val="0"/>
        <w:widowControl w:val="0"/>
        <w:kinsoku/>
        <w:wordWrap/>
        <w:overflowPunct/>
        <w:topLinePunct w:val="0"/>
        <w:autoSpaceDE/>
        <w:autoSpaceDN/>
        <w:bidi w:val="0"/>
        <w:spacing w:line="590" w:lineRule="exact"/>
        <w:jc w:val="center"/>
        <w:textAlignment w:val="auto"/>
        <w:rPr>
          <w:rFonts w:hint="eastAsia" w:ascii="Times New Roman" w:hAnsi="Times New Roman" w:eastAsia="方正仿宋_GBK" w:cs="方正仿宋_GBK"/>
          <w:color w:val="000000"/>
          <w:sz w:val="33"/>
          <w:szCs w:val="33"/>
          <w:lang w:val="en-US" w:eastAsia="zh-CN"/>
        </w:rPr>
      </w:pPr>
      <w:r>
        <w:rPr>
          <w:rFonts w:hint="eastAsia" w:ascii="方正小标宋_GBK" w:hAnsi="方正小标宋_GBK" w:eastAsia="方正小标宋_GBK" w:cs="方正小标宋_GBK"/>
          <w:color w:val="000000"/>
          <w:sz w:val="44"/>
          <w:szCs w:val="44"/>
          <w:lang w:val="en-US" w:eastAsia="zh-CN"/>
        </w:rPr>
        <w:t>招聘工作人员职位表</w:t>
      </w:r>
    </w:p>
    <w:tbl>
      <w:tblPr>
        <w:tblStyle w:val="3"/>
        <w:tblW w:w="13945" w:type="dxa"/>
        <w:tblInd w:w="0" w:type="dxa"/>
        <w:shd w:val="clear" w:color="auto" w:fill="auto"/>
        <w:tblLayout w:type="fixed"/>
        <w:tblCellMar>
          <w:top w:w="0" w:type="dxa"/>
          <w:left w:w="0" w:type="dxa"/>
          <w:bottom w:w="0" w:type="dxa"/>
          <w:right w:w="0" w:type="dxa"/>
        </w:tblCellMar>
      </w:tblPr>
      <w:tblGrid>
        <w:gridCol w:w="373"/>
        <w:gridCol w:w="1006"/>
        <w:gridCol w:w="1046"/>
        <w:gridCol w:w="732"/>
        <w:gridCol w:w="684"/>
        <w:gridCol w:w="720"/>
        <w:gridCol w:w="636"/>
        <w:gridCol w:w="828"/>
        <w:gridCol w:w="888"/>
        <w:gridCol w:w="648"/>
        <w:gridCol w:w="3984"/>
        <w:gridCol w:w="600"/>
        <w:gridCol w:w="576"/>
        <w:gridCol w:w="708"/>
        <w:gridCol w:w="516"/>
      </w:tblGrid>
      <w:tr>
        <w:tblPrEx>
          <w:shd w:val="clear" w:color="auto" w:fill="auto"/>
          <w:tblCellMar>
            <w:top w:w="0" w:type="dxa"/>
            <w:left w:w="0" w:type="dxa"/>
            <w:bottom w:w="0" w:type="dxa"/>
            <w:right w:w="0" w:type="dxa"/>
          </w:tblCellMar>
        </w:tblPrEx>
        <w:trPr>
          <w:trHeight w:val="390" w:hRule="atLeast"/>
        </w:trPr>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黑体" w:hAnsi="宋体" w:eastAsia="黑体" w:cs="黑体"/>
                <w:i w:val="0"/>
                <w:color w:val="000000"/>
                <w:sz w:val="20"/>
                <w:szCs w:val="20"/>
                <w:u w:val="none"/>
              </w:rPr>
            </w:pPr>
            <w:r>
              <w:rPr>
                <w:rFonts w:hint="eastAsia" w:ascii="黑体" w:hAnsi="宋体" w:eastAsia="黑体" w:cs="黑体"/>
                <w:i w:val="0"/>
                <w:color w:val="000000"/>
                <w:kern w:val="0"/>
                <w:sz w:val="24"/>
                <w:szCs w:val="24"/>
                <w:u w:val="none"/>
                <w:lang w:val="en-US" w:eastAsia="zh-CN" w:bidi="ar"/>
              </w:rPr>
              <w:t>序号</w:t>
            </w:r>
          </w:p>
        </w:tc>
        <w:tc>
          <w:tcPr>
            <w:tcW w:w="100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岗位代码</w:t>
            </w:r>
          </w:p>
        </w:tc>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招聘单位</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公益类别</w:t>
            </w:r>
          </w:p>
        </w:tc>
        <w:tc>
          <w:tcPr>
            <w:tcW w:w="68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岗位类别</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岗位名称</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招聘名额</w:t>
            </w:r>
          </w:p>
        </w:tc>
        <w:tc>
          <w:tcPr>
            <w:tcW w:w="63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招聘岗位条件</w:t>
            </w:r>
          </w:p>
        </w:tc>
        <w:tc>
          <w:tcPr>
            <w:tcW w:w="600"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其他</w:t>
            </w:r>
          </w:p>
        </w:tc>
        <w:tc>
          <w:tcPr>
            <w:tcW w:w="5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开考比例</w:t>
            </w:r>
          </w:p>
        </w:tc>
        <w:tc>
          <w:tcPr>
            <w:tcW w:w="70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考试科目</w:t>
            </w:r>
          </w:p>
        </w:tc>
        <w:tc>
          <w:tcPr>
            <w:tcW w:w="51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CellMar>
            <w:top w:w="0" w:type="dxa"/>
            <w:left w:w="0" w:type="dxa"/>
            <w:bottom w:w="0" w:type="dxa"/>
            <w:right w:w="0" w:type="dxa"/>
          </w:tblCellMar>
        </w:tblPrEx>
        <w:trPr>
          <w:trHeight w:val="945" w:hRule="atLeast"/>
        </w:trPr>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0"/>
                <w:szCs w:val="20"/>
                <w:u w:val="none"/>
              </w:rPr>
            </w:pPr>
          </w:p>
        </w:tc>
        <w:tc>
          <w:tcPr>
            <w:tcW w:w="100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6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年龄</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0"/>
                <w:szCs w:val="20"/>
                <w:u w:val="none"/>
                <w:lang w:eastAsia="zh-CN"/>
              </w:rPr>
            </w:pPr>
            <w:r>
              <w:rPr>
                <w:rFonts w:hint="eastAsia" w:ascii="黑体" w:hAnsi="宋体" w:eastAsia="黑体" w:cs="黑体"/>
                <w:i w:val="0"/>
                <w:color w:val="000000"/>
                <w:sz w:val="20"/>
                <w:szCs w:val="20"/>
                <w:u w:val="none"/>
                <w:lang w:eastAsia="zh-CN"/>
              </w:rPr>
              <w:t>学历要求</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0"/>
                <w:szCs w:val="20"/>
                <w:u w:val="none"/>
              </w:rPr>
            </w:pPr>
            <w:r>
              <w:rPr>
                <w:rFonts w:hint="eastAsia" w:ascii="黑体" w:hAnsi="宋体" w:eastAsia="黑体" w:cs="黑体"/>
                <w:i w:val="0"/>
                <w:color w:val="000000"/>
                <w:kern w:val="0"/>
                <w:sz w:val="20"/>
                <w:szCs w:val="20"/>
                <w:u w:val="none"/>
                <w:lang w:val="en-US" w:eastAsia="zh-CN" w:bidi="ar"/>
              </w:rPr>
              <w:t>专业</w:t>
            </w:r>
          </w:p>
        </w:tc>
        <w:tc>
          <w:tcPr>
            <w:tcW w:w="3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招聘对象</w:t>
            </w:r>
          </w:p>
        </w:tc>
        <w:tc>
          <w:tcPr>
            <w:tcW w:w="60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p>
        </w:tc>
        <w:tc>
          <w:tcPr>
            <w:tcW w:w="5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color w:val="000000"/>
                <w:sz w:val="24"/>
                <w:szCs w:val="24"/>
                <w:u w:val="none"/>
              </w:rPr>
            </w:pPr>
          </w:p>
        </w:tc>
        <w:tc>
          <w:tcPr>
            <w:tcW w:w="70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c>
          <w:tcPr>
            <w:tcW w:w="51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黑体" w:hAnsi="宋体" w:eastAsia="黑体" w:cs="黑体"/>
                <w:i w:val="0"/>
                <w:color w:val="000000"/>
                <w:sz w:val="24"/>
                <w:szCs w:val="24"/>
                <w:u w:val="none"/>
              </w:rPr>
            </w:pPr>
          </w:p>
        </w:tc>
      </w:tr>
      <w:tr>
        <w:tblPrEx>
          <w:tblCellMar>
            <w:top w:w="0" w:type="dxa"/>
            <w:left w:w="0" w:type="dxa"/>
            <w:bottom w:w="0" w:type="dxa"/>
            <w:right w:w="0" w:type="dxa"/>
          </w:tblCellMar>
        </w:tblPrEx>
        <w:trPr>
          <w:trHeight w:val="330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0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20200101</w:t>
            </w:r>
          </w:p>
        </w:tc>
        <w:tc>
          <w:tcPr>
            <w:tcW w:w="104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邻水县乡镇事业单位</w:t>
            </w:r>
          </w:p>
        </w:tc>
        <w:tc>
          <w:tcPr>
            <w:tcW w:w="73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公益 一类</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管理 岗位</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综合  管理</w:t>
            </w:r>
          </w:p>
        </w:tc>
        <w:tc>
          <w:tcPr>
            <w:tcW w:w="6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35周岁及以下，硕士研究生40周岁及以下</w:t>
            </w:r>
          </w:p>
        </w:tc>
        <w:tc>
          <w:tcPr>
            <w:tcW w:w="8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全日制普通高校专科及以上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不限</w:t>
            </w:r>
          </w:p>
        </w:tc>
        <w:tc>
          <w:tcPr>
            <w:tcW w:w="39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2020年12月22日前，在邻水县服务期满且考核合格，尚未被机关事业单位正式录（聘）用的大学生村(社区)干部、“三支一扶”计划、“大学生志愿服务西部计划”、“社工人才百人计划”以及“农村义务教育阶段学校教师特设岗位计划”等五类服务基层项目人员和户籍在邻水县尚未被机关事业单位正式录（聘）用的退役大学生士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color w:val="000000"/>
                <w:sz w:val="22"/>
                <w:szCs w:val="22"/>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default"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3:1</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color w:val="000000"/>
                <w:sz w:val="22"/>
                <w:szCs w:val="22"/>
                <w:u w:val="none"/>
                <w:lang w:eastAsia="zh-CN"/>
              </w:rPr>
            </w:pPr>
            <w:r>
              <w:rPr>
                <w:rFonts w:hint="eastAsia" w:ascii="仿宋_GB2312" w:hAnsi="宋体" w:eastAsia="仿宋_GB2312" w:cs="仿宋_GB2312"/>
                <w:i w:val="0"/>
                <w:color w:val="000000"/>
                <w:sz w:val="22"/>
                <w:szCs w:val="22"/>
                <w:u w:val="none"/>
                <w:lang w:eastAsia="zh-CN"/>
              </w:rPr>
              <w:t>《综合知识》</w:t>
            </w:r>
          </w:p>
        </w:tc>
        <w:tc>
          <w:tcPr>
            <w:tcW w:w="51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宋体" w:eastAsia="仿宋_GB2312" w:cs="仿宋_GB2312"/>
                <w:i w:val="0"/>
                <w:color w:val="000000"/>
                <w:sz w:val="22"/>
                <w:szCs w:val="22"/>
                <w:u w:val="none"/>
              </w:rPr>
            </w:pPr>
          </w:p>
        </w:tc>
      </w:tr>
    </w:tbl>
    <w:p>
      <w:pPr>
        <w:keepNext w:val="0"/>
        <w:keepLines w:val="0"/>
        <w:pageBreakBefore w:val="0"/>
        <w:widowControl w:val="0"/>
        <w:kinsoku/>
        <w:wordWrap/>
        <w:overflowPunct/>
        <w:topLinePunct w:val="0"/>
        <w:autoSpaceDE/>
        <w:autoSpaceDN/>
        <w:bidi w:val="0"/>
        <w:spacing w:line="590" w:lineRule="exact"/>
        <w:textAlignment w:val="auto"/>
        <w:rPr>
          <w:rFonts w:hint="default" w:ascii="Times New Roman" w:hAnsi="Times New Roman" w:eastAsia="方正仿宋_GBK" w:cs="方正仿宋_GBK"/>
          <w:color w:val="000000"/>
          <w:sz w:val="33"/>
          <w:szCs w:val="33"/>
          <w:lang w:val="en-US" w:eastAsia="zh-CN"/>
        </w:rPr>
        <w:sectPr>
          <w:footerReference r:id="rId3" w:type="default"/>
          <w:footerReference r:id="rId4" w:type="even"/>
          <w:pgSz w:w="16838" w:h="11906" w:orient="landscape"/>
          <w:pgMar w:top="1474" w:right="1440" w:bottom="1474" w:left="1440" w:header="851" w:footer="1474" w:gutter="0"/>
          <w:pgNumType w:fmt="decimal" w:start="1"/>
          <w:cols w:space="0" w:num="1"/>
          <w:rtlGutter w:val="0"/>
          <w:docGrid w:type="lines" w:linePitch="595"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方正黑体_GBK">
    <w:altName w:val="黑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方正仿宋_GBK">
    <w:altName w:val="宋体"/>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1552" behindDoc="0" locked="0" layoutInCell="1" allowOverlap="1">
              <wp:simplePos x="0" y="0"/>
              <wp:positionH relativeFrom="margin">
                <wp:posOffset>7933055</wp:posOffset>
              </wp:positionH>
              <wp:positionV relativeFrom="paragraph">
                <wp:posOffset>0</wp:posOffset>
              </wp:positionV>
              <wp:extent cx="930275"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9302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24.65pt;margin-top:0pt;height:144pt;width:73.25pt;mso-position-horizontal-relative:margin;z-index:251671552;mso-width-relative:page;mso-height-relative:page;" filled="f" stroked="f" coordsize="21600,21600" o:gfxdata="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zh102AAAAAoBAAAPAAAAAAAAAAEAIAAAACIAAABkcnMvZG93&#10;bnJldi54bWxQSwECFAAUAAAACACHTuJAeW1sUjkCAABiBAAADgAAAAAAAAABACAAAAAnAQAAZHJz&#10;L2Uyb0RvYy54bWxQSwUGAAAAAAYABgBZAQAA0gU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11</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CE4E21"/>
    <w:rsid w:val="20CE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3"/>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2020-12-08T01:19:00Z</dcterms:created>
  <dc:creator>Administrator</dc:creator>
  <cp:lastModifiedBy>Administrator</cp:lastModifiedBy>
  <dcterms:modified xsi:type="dcterms:W3CDTF">2020-12-08T01:19:38Z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