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湘南硅谷-衡山科学城</w:t>
      </w:r>
    </w:p>
    <w:p>
      <w:pPr>
        <w:rPr>
          <w:rFonts w:hint="eastAsia"/>
          <w:lang w:eastAsia="zh-CN"/>
        </w:rPr>
      </w:pPr>
      <w:r>
        <w:rPr>
          <w:rFonts w:hint="eastAsia"/>
          <w:lang w:eastAsia="zh-CN"/>
        </w:rPr>
        <w:drawing>
          <wp:inline distT="0" distB="0" distL="114300" distR="114300">
            <wp:extent cx="5266690" cy="3185160"/>
            <wp:effectExtent l="0" t="0" r="10160" b="1524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5"/>
                    <a:stretch>
                      <a:fillRect/>
                    </a:stretch>
                  </pic:blipFill>
                  <pic:spPr>
                    <a:xfrm>
                      <a:off x="0" y="0"/>
                      <a:ext cx="5266690" cy="3185160"/>
                    </a:xfrm>
                    <a:prstGeom prst="rect">
                      <a:avLst/>
                    </a:prstGeom>
                  </pic:spPr>
                </pic:pic>
              </a:graphicData>
            </a:graphic>
          </wp:inline>
        </w:drawing>
      </w:r>
    </w:p>
    <w:p>
      <w:pPr>
        <w:pStyle w:val="14"/>
        <w:spacing w:line="580" w:lineRule="exact"/>
        <w:ind w:firstLine="640"/>
        <w:rPr>
          <w:rFonts w:hint="eastAsia" w:ascii="仿宋_GB2312" w:hAnsi="仿宋" w:eastAsia="仿宋_GB2312"/>
          <w:sz w:val="32"/>
          <w:szCs w:val="32"/>
        </w:rPr>
      </w:pPr>
      <w:r>
        <w:rPr>
          <w:rFonts w:hint="eastAsia" w:ascii="仿宋_GB2312" w:hAnsi="仿宋" w:eastAsia="仿宋_GB2312"/>
          <w:sz w:val="32"/>
          <w:szCs w:val="32"/>
        </w:rPr>
        <w:t>衡山工业集中区管理委员会（衡山科学城管理委员会，以下简称衡山科学城管委会)是市委、市政府派出机关。内设党政办公室、财务部、产业发展局、建设管理局、科技创新局五个部门</w:t>
      </w:r>
      <w:bookmarkStart w:id="0" w:name="_GoBack"/>
      <w:bookmarkEnd w:id="0"/>
      <w:r>
        <w:rPr>
          <w:rFonts w:hint="eastAsia" w:ascii="仿宋_GB2312" w:hAnsi="仿宋" w:eastAsia="仿宋_GB2312"/>
          <w:sz w:val="32"/>
          <w:szCs w:val="32"/>
        </w:rPr>
        <w:t>。</w:t>
      </w:r>
    </w:p>
    <w:p>
      <w:pPr>
        <w:rPr>
          <w:rFonts w:hint="eastAsia"/>
          <w:lang w:eastAsia="zh-CN"/>
        </w:rPr>
      </w:pPr>
      <w:r>
        <w:rPr>
          <w:rFonts w:hint="eastAsia"/>
          <w:lang w:eastAsia="zh-CN"/>
        </w:rPr>
        <w:drawing>
          <wp:inline distT="0" distB="0" distL="114300" distR="114300">
            <wp:extent cx="5295265" cy="3095625"/>
            <wp:effectExtent l="0" t="0" r="635" b="9525"/>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6"/>
                    <a:stretch>
                      <a:fillRect/>
                    </a:stretch>
                  </pic:blipFill>
                  <pic:spPr>
                    <a:xfrm>
                      <a:off x="0" y="0"/>
                      <a:ext cx="5295265" cy="3095625"/>
                    </a:xfrm>
                    <a:prstGeom prst="rect">
                      <a:avLst/>
                    </a:prstGeom>
                  </pic:spPr>
                </pic:pic>
              </a:graphicData>
            </a:graphic>
          </wp:inline>
        </w:drawing>
      </w:r>
    </w:p>
    <w:p>
      <w:pPr>
        <w:pStyle w:val="14"/>
        <w:spacing w:line="580" w:lineRule="exact"/>
        <w:ind w:firstLine="640"/>
        <w:rPr>
          <w:rFonts w:hint="eastAsia" w:ascii="仿宋_GB2312" w:hAnsi="仿宋" w:eastAsia="仿宋_GB2312"/>
          <w:sz w:val="32"/>
          <w:szCs w:val="32"/>
        </w:rPr>
      </w:pPr>
      <w:r>
        <w:rPr>
          <w:rFonts w:hint="eastAsia" w:ascii="仿宋_GB2312" w:hAnsi="仿宋" w:eastAsia="仿宋_GB2312"/>
          <w:sz w:val="32"/>
          <w:szCs w:val="32"/>
        </w:rPr>
        <w:t>园区总规划面积</w:t>
      </w:r>
      <w:r>
        <w:rPr>
          <w:rFonts w:hint="eastAsia" w:ascii="仿宋_GB2312" w:hAnsi="仿宋" w:eastAsia="仿宋_GB2312"/>
          <w:sz w:val="32"/>
          <w:szCs w:val="32"/>
          <w:lang w:val="en-US" w:eastAsia="zh-CN"/>
        </w:rPr>
        <w:t>20</w:t>
      </w:r>
      <w:r>
        <w:rPr>
          <w:rFonts w:hint="eastAsia" w:ascii="仿宋_GB2312" w:hAnsi="仿宋" w:eastAsia="仿宋_GB2312"/>
          <w:sz w:val="32"/>
          <w:szCs w:val="32"/>
        </w:rPr>
        <w:t>平方公里，2015年9月动工建设，2017年3月开园，是市委、市政府为加快实施创新驱动和“2025中国制造”发展战略而建立的一座机制创新型园区和生态智能新城，是国家发改委批复的省级工业园、省级科技企业孵化器、湖南省首批军民融合产业示范基地，全国第四批增量配电业务改革试点单位，是我市振兴实体经济“3311”工程中的“创新高地”，致力打造活力充盈的“湘南硅谷”。</w:t>
      </w:r>
    </w:p>
    <w:p>
      <w:pPr>
        <w:rPr>
          <w:rFonts w:hint="eastAsia"/>
          <w:lang w:eastAsia="zh-CN"/>
        </w:rPr>
      </w:pPr>
      <w:r>
        <w:rPr>
          <w:rFonts w:hint="eastAsia"/>
          <w:lang w:eastAsia="zh-CN"/>
        </w:rPr>
        <w:drawing>
          <wp:inline distT="0" distB="0" distL="114300" distR="114300">
            <wp:extent cx="5266690" cy="3950335"/>
            <wp:effectExtent l="0" t="0" r="10160" b="12065"/>
            <wp:docPr id="13"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3"/>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p>
    <w:p>
      <w:pPr>
        <w:pStyle w:val="14"/>
        <w:spacing w:line="580" w:lineRule="exact"/>
        <w:ind w:firstLine="640"/>
        <w:rPr>
          <w:rFonts w:hint="eastAsia" w:ascii="仿宋_GB2312" w:hAnsi="仿宋" w:eastAsia="仿宋_GB2312"/>
          <w:sz w:val="32"/>
          <w:szCs w:val="32"/>
        </w:rPr>
      </w:pPr>
      <w:r>
        <w:rPr>
          <w:rFonts w:hint="eastAsia" w:ascii="仿宋_GB2312" w:hAnsi="仿宋" w:eastAsia="仿宋_GB2312"/>
          <w:sz w:val="32"/>
          <w:szCs w:val="32"/>
        </w:rPr>
        <w:t>衡山科学城规划构建“3+1”产业发展体系，以新一代信息技术产业发展为依托、以新材料产业发展为特色、以生命健康产业发展为引领、以高科技服务业发展为支撑，努力培育上市公司和行业领军企业，打造全省领先、全国一流的科技创新园区。现已累计完成注册企业1</w:t>
      </w:r>
      <w:r>
        <w:rPr>
          <w:rFonts w:hint="eastAsia" w:ascii="仿宋_GB2312" w:hAnsi="仿宋" w:eastAsia="仿宋_GB2312"/>
          <w:sz w:val="32"/>
          <w:szCs w:val="32"/>
          <w:lang w:val="en-US" w:eastAsia="zh-CN"/>
        </w:rPr>
        <w:t>40</w:t>
      </w:r>
      <w:r>
        <w:rPr>
          <w:rFonts w:hint="eastAsia" w:ascii="仿宋_GB2312" w:hAnsi="仿宋" w:eastAsia="仿宋_GB2312"/>
          <w:sz w:val="32"/>
          <w:szCs w:val="32"/>
        </w:rPr>
        <w:t>家，签约落地产业项目</w:t>
      </w:r>
      <w:r>
        <w:rPr>
          <w:rFonts w:hint="eastAsia" w:ascii="仿宋_GB2312" w:hAnsi="仿宋" w:eastAsia="仿宋_GB2312"/>
          <w:sz w:val="32"/>
          <w:szCs w:val="32"/>
          <w:lang w:val="en-US" w:eastAsia="zh-CN"/>
        </w:rPr>
        <w:t>47</w:t>
      </w:r>
      <w:r>
        <w:rPr>
          <w:rFonts w:hint="eastAsia" w:ascii="仿宋_GB2312" w:hAnsi="仿宋" w:eastAsia="仿宋_GB2312"/>
          <w:sz w:val="32"/>
          <w:szCs w:val="32"/>
        </w:rPr>
        <w:t>家，申请专利数</w:t>
      </w:r>
      <w:r>
        <w:rPr>
          <w:rFonts w:hint="eastAsia" w:ascii="仿宋_GB2312" w:hAnsi="仿宋" w:eastAsia="仿宋_GB2312"/>
          <w:sz w:val="32"/>
          <w:szCs w:val="32"/>
          <w:lang w:val="en-US" w:eastAsia="zh-CN"/>
        </w:rPr>
        <w:t>近800</w:t>
      </w:r>
      <w:r>
        <w:rPr>
          <w:rFonts w:hint="eastAsia" w:ascii="仿宋_GB2312" w:hAnsi="仿宋" w:eastAsia="仿宋_GB2312"/>
          <w:sz w:val="32"/>
          <w:szCs w:val="32"/>
        </w:rPr>
        <w:t>项。</w:t>
      </w:r>
    </w:p>
    <w:p>
      <w:pPr>
        <w:rPr>
          <w:rFonts w:hint="eastAsia"/>
          <w:lang w:eastAsia="zh-CN"/>
        </w:rPr>
      </w:pPr>
      <w:r>
        <w:rPr>
          <w:rFonts w:hint="eastAsia"/>
          <w:lang w:eastAsia="zh-CN"/>
        </w:rPr>
        <w:drawing>
          <wp:inline distT="0" distB="0" distL="114300" distR="114300">
            <wp:extent cx="5269230" cy="2808605"/>
            <wp:effectExtent l="0" t="0" r="7620" b="10795"/>
            <wp:docPr id="14" name="图片 1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4"/>
                    <pic:cNvPicPr>
                      <a:picLocks noChangeAspect="1"/>
                    </pic:cNvPicPr>
                  </pic:nvPicPr>
                  <pic:blipFill>
                    <a:blip r:embed="rId8"/>
                    <a:stretch>
                      <a:fillRect/>
                    </a:stretch>
                  </pic:blipFill>
                  <pic:spPr>
                    <a:xfrm>
                      <a:off x="0" y="0"/>
                      <a:ext cx="5269230" cy="2808605"/>
                    </a:xfrm>
                    <a:prstGeom prst="rect">
                      <a:avLst/>
                    </a:prstGeom>
                  </pic:spPr>
                </pic:pic>
              </a:graphicData>
            </a:graphic>
          </wp:inline>
        </w:drawing>
      </w:r>
    </w:p>
    <w:p>
      <w:pPr>
        <w:pStyle w:val="14"/>
        <w:spacing w:line="580" w:lineRule="exact"/>
        <w:ind w:firstLine="640"/>
        <w:rPr>
          <w:rFonts w:hint="eastAsia" w:ascii="仿宋_GB2312" w:hAnsi="仿宋" w:eastAsia="仿宋_GB2312"/>
          <w:sz w:val="32"/>
          <w:szCs w:val="32"/>
        </w:rPr>
      </w:pPr>
      <w:r>
        <w:rPr>
          <w:rFonts w:hint="eastAsia" w:ascii="仿宋_GB2312" w:hAnsi="仿宋" w:eastAsia="仿宋_GB2312"/>
          <w:sz w:val="32"/>
          <w:szCs w:val="32"/>
        </w:rPr>
        <w:t>衡山科学城大力推进科技成果转化，先后与北大、北航、上海交大、国防科大、中科院半导体研究所、中国技术交易所、中科院湖南技术转移中心等20所知名高校以及技术平台开展合作，成功打造衡阳市导航飞控工程技术研究中心等市级工程技术研究中心7家；柔性引进毛军发、王浩、葛修润院士3位；创新引进973项目首席科学家北航张春熹教授、教育部长江学者特聘教授上海交大深圳研究院刘河洲院长等高层次创新创业人才团队9个，完成引进省“5个100”高层次科技创新人才8位，占全市61.5%。</w:t>
      </w:r>
    </w:p>
    <w:p>
      <w:pPr>
        <w:rPr>
          <w:rFonts w:hint="eastAsia"/>
          <w:lang w:eastAsia="zh-CN"/>
        </w:rPr>
      </w:pPr>
      <w:r>
        <w:rPr>
          <w:rFonts w:hint="eastAsia"/>
          <w:lang w:eastAsia="zh-CN"/>
        </w:rPr>
        <w:drawing>
          <wp:inline distT="0" distB="0" distL="114300" distR="114300">
            <wp:extent cx="5271135" cy="3143885"/>
            <wp:effectExtent l="0" t="0" r="5715" b="18415"/>
            <wp:docPr id="15" name="图片 1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5"/>
                    <pic:cNvPicPr>
                      <a:picLocks noChangeAspect="1"/>
                    </pic:cNvPicPr>
                  </pic:nvPicPr>
                  <pic:blipFill>
                    <a:blip r:embed="rId9"/>
                    <a:stretch>
                      <a:fillRect/>
                    </a:stretch>
                  </pic:blipFill>
                  <pic:spPr>
                    <a:xfrm>
                      <a:off x="0" y="0"/>
                      <a:ext cx="5271135" cy="3143885"/>
                    </a:xfrm>
                    <a:prstGeom prst="rect">
                      <a:avLst/>
                    </a:prstGeom>
                  </pic:spPr>
                </pic:pic>
              </a:graphicData>
            </a:graphic>
          </wp:inline>
        </w:drawing>
      </w:r>
    </w:p>
    <w:p>
      <w:pPr>
        <w:pStyle w:val="14"/>
        <w:spacing w:line="580" w:lineRule="exact"/>
        <w:ind w:firstLine="640"/>
        <w:rPr>
          <w:rFonts w:hint="eastAsia" w:ascii="仿宋_GB2312" w:hAnsi="仿宋" w:eastAsia="仿宋_GB2312"/>
          <w:sz w:val="32"/>
          <w:szCs w:val="32"/>
          <w:lang w:eastAsia="zh-CN"/>
        </w:rPr>
      </w:pPr>
      <w:r>
        <w:rPr>
          <w:rFonts w:hint="eastAsia" w:ascii="仿宋_GB2312" w:hAnsi="仿宋" w:eastAsia="仿宋_GB2312"/>
          <w:sz w:val="32"/>
          <w:szCs w:val="32"/>
        </w:rPr>
        <w:t>下阶段，衡山科学城将继续按照市委、市政府的战略定位，努力将衡山科学城打造成湘南地区关键技术应用研发先进示范区、湖南省“创新引领开放崛起战略”践行先导区、中南地区产学研协同创新先行试验区。</w:t>
      </w: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A1742"/>
    <w:rsid w:val="00000505"/>
    <w:rsid w:val="000012A5"/>
    <w:rsid w:val="00007C11"/>
    <w:rsid w:val="00012AB9"/>
    <w:rsid w:val="00016051"/>
    <w:rsid w:val="00020EC7"/>
    <w:rsid w:val="000332F0"/>
    <w:rsid w:val="00045A04"/>
    <w:rsid w:val="00053168"/>
    <w:rsid w:val="0005726F"/>
    <w:rsid w:val="000615E6"/>
    <w:rsid w:val="0006600C"/>
    <w:rsid w:val="00075CE4"/>
    <w:rsid w:val="000834EE"/>
    <w:rsid w:val="00086D62"/>
    <w:rsid w:val="0009154D"/>
    <w:rsid w:val="000A1742"/>
    <w:rsid w:val="000A53BF"/>
    <w:rsid w:val="000A65B9"/>
    <w:rsid w:val="000B3988"/>
    <w:rsid w:val="000B6F58"/>
    <w:rsid w:val="000B76B2"/>
    <w:rsid w:val="000C6746"/>
    <w:rsid w:val="000E64D1"/>
    <w:rsid w:val="000F61E9"/>
    <w:rsid w:val="00103B19"/>
    <w:rsid w:val="00105F34"/>
    <w:rsid w:val="00127FE8"/>
    <w:rsid w:val="00130E2F"/>
    <w:rsid w:val="00134039"/>
    <w:rsid w:val="001435AD"/>
    <w:rsid w:val="001455CC"/>
    <w:rsid w:val="001574F7"/>
    <w:rsid w:val="00181A56"/>
    <w:rsid w:val="001A7978"/>
    <w:rsid w:val="001B0434"/>
    <w:rsid w:val="001D35FD"/>
    <w:rsid w:val="001F3E70"/>
    <w:rsid w:val="001F7F69"/>
    <w:rsid w:val="00200DC0"/>
    <w:rsid w:val="002038A3"/>
    <w:rsid w:val="00210B3D"/>
    <w:rsid w:val="00221244"/>
    <w:rsid w:val="00221D8C"/>
    <w:rsid w:val="00232D88"/>
    <w:rsid w:val="00245213"/>
    <w:rsid w:val="00257B38"/>
    <w:rsid w:val="00262AF4"/>
    <w:rsid w:val="00262C77"/>
    <w:rsid w:val="00275106"/>
    <w:rsid w:val="00284A80"/>
    <w:rsid w:val="00285954"/>
    <w:rsid w:val="00291FD3"/>
    <w:rsid w:val="0029506A"/>
    <w:rsid w:val="00297B67"/>
    <w:rsid w:val="002B02A4"/>
    <w:rsid w:val="002C0855"/>
    <w:rsid w:val="002C4809"/>
    <w:rsid w:val="002E43AE"/>
    <w:rsid w:val="002E7373"/>
    <w:rsid w:val="002F19AD"/>
    <w:rsid w:val="002F3B15"/>
    <w:rsid w:val="002F419E"/>
    <w:rsid w:val="0030373F"/>
    <w:rsid w:val="003109CA"/>
    <w:rsid w:val="00310DC2"/>
    <w:rsid w:val="00314322"/>
    <w:rsid w:val="00326404"/>
    <w:rsid w:val="00342DF6"/>
    <w:rsid w:val="00353271"/>
    <w:rsid w:val="00376502"/>
    <w:rsid w:val="003941D4"/>
    <w:rsid w:val="003A5A47"/>
    <w:rsid w:val="003B0CE2"/>
    <w:rsid w:val="003B1F43"/>
    <w:rsid w:val="003B2A35"/>
    <w:rsid w:val="003B34A0"/>
    <w:rsid w:val="003B5390"/>
    <w:rsid w:val="003B60C1"/>
    <w:rsid w:val="003D4C3A"/>
    <w:rsid w:val="003D72A1"/>
    <w:rsid w:val="003F5096"/>
    <w:rsid w:val="003F7A66"/>
    <w:rsid w:val="004043CB"/>
    <w:rsid w:val="004225B4"/>
    <w:rsid w:val="004466BC"/>
    <w:rsid w:val="00446AF4"/>
    <w:rsid w:val="004723FE"/>
    <w:rsid w:val="00483419"/>
    <w:rsid w:val="00483BE3"/>
    <w:rsid w:val="00486E71"/>
    <w:rsid w:val="004923FD"/>
    <w:rsid w:val="00492D98"/>
    <w:rsid w:val="00494E9E"/>
    <w:rsid w:val="004950F0"/>
    <w:rsid w:val="004971BB"/>
    <w:rsid w:val="004A7661"/>
    <w:rsid w:val="004B19DB"/>
    <w:rsid w:val="004B6E24"/>
    <w:rsid w:val="004E7130"/>
    <w:rsid w:val="004F7F59"/>
    <w:rsid w:val="00505941"/>
    <w:rsid w:val="00514954"/>
    <w:rsid w:val="00517632"/>
    <w:rsid w:val="00517B41"/>
    <w:rsid w:val="005249ED"/>
    <w:rsid w:val="0052635B"/>
    <w:rsid w:val="00546907"/>
    <w:rsid w:val="005551E2"/>
    <w:rsid w:val="005644C5"/>
    <w:rsid w:val="00585995"/>
    <w:rsid w:val="00587E07"/>
    <w:rsid w:val="00595186"/>
    <w:rsid w:val="005A081C"/>
    <w:rsid w:val="005A273A"/>
    <w:rsid w:val="005A6E2D"/>
    <w:rsid w:val="005B0BEF"/>
    <w:rsid w:val="005B585A"/>
    <w:rsid w:val="005C2979"/>
    <w:rsid w:val="005D3657"/>
    <w:rsid w:val="005D623A"/>
    <w:rsid w:val="005D7B3B"/>
    <w:rsid w:val="005D7E5C"/>
    <w:rsid w:val="005E1BD2"/>
    <w:rsid w:val="005F14BA"/>
    <w:rsid w:val="005F7891"/>
    <w:rsid w:val="00602978"/>
    <w:rsid w:val="00614688"/>
    <w:rsid w:val="00617FC5"/>
    <w:rsid w:val="00647A9F"/>
    <w:rsid w:val="00664448"/>
    <w:rsid w:val="0067156B"/>
    <w:rsid w:val="0067255C"/>
    <w:rsid w:val="00681B0B"/>
    <w:rsid w:val="00683378"/>
    <w:rsid w:val="00683565"/>
    <w:rsid w:val="00684050"/>
    <w:rsid w:val="00685751"/>
    <w:rsid w:val="006A1C28"/>
    <w:rsid w:val="006A5DD3"/>
    <w:rsid w:val="006A5E13"/>
    <w:rsid w:val="006B10FC"/>
    <w:rsid w:val="006D5A4C"/>
    <w:rsid w:val="006E730B"/>
    <w:rsid w:val="006E7B9C"/>
    <w:rsid w:val="006F3766"/>
    <w:rsid w:val="006F43C3"/>
    <w:rsid w:val="00710DB8"/>
    <w:rsid w:val="007210AD"/>
    <w:rsid w:val="00723B2F"/>
    <w:rsid w:val="007352F8"/>
    <w:rsid w:val="007545C5"/>
    <w:rsid w:val="007558F8"/>
    <w:rsid w:val="00755CC2"/>
    <w:rsid w:val="00760C52"/>
    <w:rsid w:val="00797476"/>
    <w:rsid w:val="00797B0D"/>
    <w:rsid w:val="007B4340"/>
    <w:rsid w:val="007C3289"/>
    <w:rsid w:val="007C3B4A"/>
    <w:rsid w:val="007D7ACA"/>
    <w:rsid w:val="007E2627"/>
    <w:rsid w:val="007E3ED1"/>
    <w:rsid w:val="007F00A3"/>
    <w:rsid w:val="007F5EFB"/>
    <w:rsid w:val="00801482"/>
    <w:rsid w:val="00813D72"/>
    <w:rsid w:val="00830E45"/>
    <w:rsid w:val="00834EBE"/>
    <w:rsid w:val="00840CE4"/>
    <w:rsid w:val="008425C5"/>
    <w:rsid w:val="00862C83"/>
    <w:rsid w:val="0087454A"/>
    <w:rsid w:val="008865A0"/>
    <w:rsid w:val="0089292F"/>
    <w:rsid w:val="008A486A"/>
    <w:rsid w:val="008A617C"/>
    <w:rsid w:val="008B0813"/>
    <w:rsid w:val="008B1F6C"/>
    <w:rsid w:val="008C39E7"/>
    <w:rsid w:val="008F20BE"/>
    <w:rsid w:val="008F37FE"/>
    <w:rsid w:val="008F42C9"/>
    <w:rsid w:val="00914CB4"/>
    <w:rsid w:val="00923E6F"/>
    <w:rsid w:val="009244C2"/>
    <w:rsid w:val="00924860"/>
    <w:rsid w:val="00927764"/>
    <w:rsid w:val="00932D78"/>
    <w:rsid w:val="00945851"/>
    <w:rsid w:val="0094673E"/>
    <w:rsid w:val="009479F1"/>
    <w:rsid w:val="00956F3E"/>
    <w:rsid w:val="00960AF9"/>
    <w:rsid w:val="00987817"/>
    <w:rsid w:val="00990A47"/>
    <w:rsid w:val="00991A8D"/>
    <w:rsid w:val="009A256C"/>
    <w:rsid w:val="009A28D4"/>
    <w:rsid w:val="009A4644"/>
    <w:rsid w:val="009A6052"/>
    <w:rsid w:val="009C08AF"/>
    <w:rsid w:val="009C2EBC"/>
    <w:rsid w:val="009C61CD"/>
    <w:rsid w:val="009C6E12"/>
    <w:rsid w:val="009E18DD"/>
    <w:rsid w:val="009E54E4"/>
    <w:rsid w:val="009E78F4"/>
    <w:rsid w:val="00A045A8"/>
    <w:rsid w:val="00A12068"/>
    <w:rsid w:val="00A229E7"/>
    <w:rsid w:val="00A340D5"/>
    <w:rsid w:val="00A3413C"/>
    <w:rsid w:val="00A4099A"/>
    <w:rsid w:val="00A45573"/>
    <w:rsid w:val="00A540F8"/>
    <w:rsid w:val="00A55BD9"/>
    <w:rsid w:val="00A572BA"/>
    <w:rsid w:val="00A639B9"/>
    <w:rsid w:val="00A65521"/>
    <w:rsid w:val="00A7273A"/>
    <w:rsid w:val="00A7569A"/>
    <w:rsid w:val="00A77F19"/>
    <w:rsid w:val="00AA0111"/>
    <w:rsid w:val="00AA5651"/>
    <w:rsid w:val="00AC18D5"/>
    <w:rsid w:val="00AC5800"/>
    <w:rsid w:val="00AD0826"/>
    <w:rsid w:val="00AE0405"/>
    <w:rsid w:val="00B11776"/>
    <w:rsid w:val="00B14808"/>
    <w:rsid w:val="00B16452"/>
    <w:rsid w:val="00B30590"/>
    <w:rsid w:val="00B306CF"/>
    <w:rsid w:val="00B31FE7"/>
    <w:rsid w:val="00B536AE"/>
    <w:rsid w:val="00B764E1"/>
    <w:rsid w:val="00B82AF9"/>
    <w:rsid w:val="00B86EF5"/>
    <w:rsid w:val="00B90AAF"/>
    <w:rsid w:val="00B91555"/>
    <w:rsid w:val="00B959F1"/>
    <w:rsid w:val="00B97748"/>
    <w:rsid w:val="00BA2524"/>
    <w:rsid w:val="00BA2D46"/>
    <w:rsid w:val="00BB056B"/>
    <w:rsid w:val="00BB320A"/>
    <w:rsid w:val="00BD23AE"/>
    <w:rsid w:val="00BE055D"/>
    <w:rsid w:val="00BE196D"/>
    <w:rsid w:val="00BF2B94"/>
    <w:rsid w:val="00C04029"/>
    <w:rsid w:val="00C161DF"/>
    <w:rsid w:val="00C1672F"/>
    <w:rsid w:val="00C21221"/>
    <w:rsid w:val="00C23A10"/>
    <w:rsid w:val="00C27180"/>
    <w:rsid w:val="00C34531"/>
    <w:rsid w:val="00C349FF"/>
    <w:rsid w:val="00C53733"/>
    <w:rsid w:val="00C60208"/>
    <w:rsid w:val="00C71BD0"/>
    <w:rsid w:val="00C76A04"/>
    <w:rsid w:val="00C837CD"/>
    <w:rsid w:val="00C87014"/>
    <w:rsid w:val="00C93EEE"/>
    <w:rsid w:val="00CA1576"/>
    <w:rsid w:val="00CB2ACB"/>
    <w:rsid w:val="00CC4E1D"/>
    <w:rsid w:val="00CD370D"/>
    <w:rsid w:val="00CD3CD8"/>
    <w:rsid w:val="00CE150D"/>
    <w:rsid w:val="00CF3E89"/>
    <w:rsid w:val="00CF4E12"/>
    <w:rsid w:val="00D017BF"/>
    <w:rsid w:val="00D15839"/>
    <w:rsid w:val="00D20086"/>
    <w:rsid w:val="00D254EF"/>
    <w:rsid w:val="00D53152"/>
    <w:rsid w:val="00D85607"/>
    <w:rsid w:val="00DB550F"/>
    <w:rsid w:val="00DC4016"/>
    <w:rsid w:val="00DC4C85"/>
    <w:rsid w:val="00DE29D4"/>
    <w:rsid w:val="00E1295F"/>
    <w:rsid w:val="00E53B74"/>
    <w:rsid w:val="00E62297"/>
    <w:rsid w:val="00E64258"/>
    <w:rsid w:val="00E644B0"/>
    <w:rsid w:val="00E72502"/>
    <w:rsid w:val="00E8358E"/>
    <w:rsid w:val="00E944E6"/>
    <w:rsid w:val="00E96119"/>
    <w:rsid w:val="00EC1429"/>
    <w:rsid w:val="00ED5996"/>
    <w:rsid w:val="00EE6B9C"/>
    <w:rsid w:val="00EF1084"/>
    <w:rsid w:val="00F065E5"/>
    <w:rsid w:val="00F149B0"/>
    <w:rsid w:val="00F15CA9"/>
    <w:rsid w:val="00F2449E"/>
    <w:rsid w:val="00F2712C"/>
    <w:rsid w:val="00F435A9"/>
    <w:rsid w:val="00F43AFF"/>
    <w:rsid w:val="00F706C0"/>
    <w:rsid w:val="00F72F5C"/>
    <w:rsid w:val="00F7659F"/>
    <w:rsid w:val="00F778DD"/>
    <w:rsid w:val="00F77E78"/>
    <w:rsid w:val="00F857F7"/>
    <w:rsid w:val="00F8797F"/>
    <w:rsid w:val="00F93073"/>
    <w:rsid w:val="00FB6E87"/>
    <w:rsid w:val="00FC0D90"/>
    <w:rsid w:val="00FC1274"/>
    <w:rsid w:val="00FC3B4E"/>
    <w:rsid w:val="00FD0F2A"/>
    <w:rsid w:val="00FD238E"/>
    <w:rsid w:val="00FE7EEA"/>
    <w:rsid w:val="00FF1093"/>
    <w:rsid w:val="06A1496E"/>
    <w:rsid w:val="087A6ACB"/>
    <w:rsid w:val="1E3C1287"/>
    <w:rsid w:val="362A0A11"/>
    <w:rsid w:val="38C13F02"/>
    <w:rsid w:val="3C7C3090"/>
    <w:rsid w:val="48596F85"/>
    <w:rsid w:val="609E675C"/>
    <w:rsid w:val="63A94CCD"/>
    <w:rsid w:val="6BC32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3">
    <w:name w:val="heading 2"/>
    <w:basedOn w:val="1"/>
    <w:next w:val="1"/>
    <w:link w:val="17"/>
    <w:qFormat/>
    <w:uiPriority w:val="9"/>
    <w:pPr>
      <w:widowControl/>
      <w:spacing w:before="100" w:beforeAutospacing="1" w:after="100" w:afterAutospacing="1"/>
      <w:jc w:val="left"/>
      <w:outlineLvl w:val="1"/>
    </w:pPr>
    <w:rPr>
      <w:rFonts w:ascii="宋体" w:hAnsi="宋体" w:cs="宋体"/>
      <w:b/>
      <w:bCs/>
      <w:kern w:val="0"/>
      <w:sz w:val="36"/>
      <w:szCs w:val="36"/>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5"/>
    <w:qFormat/>
    <w:uiPriority w:val="99"/>
    <w:pPr>
      <w:spacing w:after="120"/>
    </w:pPr>
  </w:style>
  <w:style w:type="paragraph" w:styleId="4">
    <w:name w:val="Balloon Text"/>
    <w:basedOn w:val="1"/>
    <w:link w:val="16"/>
    <w:qFormat/>
    <w:uiPriority w:val="99"/>
    <w:rPr>
      <w:sz w:val="18"/>
      <w:szCs w:val="18"/>
    </w:rPr>
  </w:style>
  <w:style w:type="paragraph" w:styleId="5">
    <w:name w:val="footer"/>
    <w:basedOn w:val="1"/>
    <w:link w:val="12"/>
    <w:qFormat/>
    <w:uiPriority w:val="0"/>
    <w:pPr>
      <w:tabs>
        <w:tab w:val="center" w:pos="4153"/>
        <w:tab w:val="right" w:pos="8306"/>
      </w:tabs>
      <w:snapToGrid w:val="0"/>
      <w:jc w:val="left"/>
    </w:pPr>
    <w:rPr>
      <w:sz w:val="18"/>
      <w:szCs w:val="18"/>
    </w:rPr>
  </w:style>
  <w:style w:type="paragraph" w:styleId="6">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spacing w:before="100" w:beforeAutospacing="1" w:after="100" w:afterAutospacing="1"/>
      <w:jc w:val="left"/>
    </w:pPr>
    <w:rPr>
      <w:kern w:val="0"/>
      <w:sz w:val="24"/>
      <w:szCs w:val="24"/>
    </w:rPr>
  </w:style>
  <w:style w:type="character" w:styleId="10">
    <w:name w:val="Strong"/>
    <w:basedOn w:val="9"/>
    <w:qFormat/>
    <w:uiPriority w:val="22"/>
    <w:rPr>
      <w:b/>
      <w:bCs/>
    </w:rPr>
  </w:style>
  <w:style w:type="character" w:customStyle="1" w:styleId="11">
    <w:name w:val="页眉 Char"/>
    <w:basedOn w:val="9"/>
    <w:link w:val="6"/>
    <w:qFormat/>
    <w:uiPriority w:val="0"/>
    <w:rPr>
      <w:rFonts w:ascii="Calibri" w:hAnsi="Calibri" w:eastAsia="宋体" w:cs="Times New Roman"/>
      <w:sz w:val="18"/>
      <w:szCs w:val="18"/>
    </w:rPr>
  </w:style>
  <w:style w:type="character" w:customStyle="1" w:styleId="12">
    <w:name w:val="页脚 Char"/>
    <w:basedOn w:val="9"/>
    <w:link w:val="5"/>
    <w:qFormat/>
    <w:uiPriority w:val="0"/>
    <w:rPr>
      <w:rFonts w:ascii="Calibri" w:hAnsi="Calibri" w:eastAsia="宋体" w:cs="Times New Roman"/>
      <w:sz w:val="18"/>
      <w:szCs w:val="18"/>
    </w:rPr>
  </w:style>
  <w:style w:type="paragraph" w:customStyle="1" w:styleId="13">
    <w:name w:val="p0"/>
    <w:basedOn w:val="1"/>
    <w:qFormat/>
    <w:uiPriority w:val="0"/>
    <w:pPr>
      <w:widowControl/>
    </w:pPr>
    <w:rPr>
      <w:kern w:val="0"/>
    </w:rPr>
  </w:style>
  <w:style w:type="paragraph" w:customStyle="1" w:styleId="14">
    <w:name w:val="&quot;List Paragraph&quot;"/>
    <w:qFormat/>
    <w:uiPriority w:val="0"/>
    <w:pPr>
      <w:widowControl w:val="0"/>
      <w:ind w:firstLine="420" w:firstLineChars="200"/>
      <w:jc w:val="both"/>
    </w:pPr>
    <w:rPr>
      <w:rFonts w:ascii="Calibri" w:hAnsi="Calibri" w:eastAsia="宋体" w:cs="Times New Roman"/>
      <w:kern w:val="2"/>
      <w:sz w:val="21"/>
      <w:szCs w:val="22"/>
      <w:lang w:val="en-US" w:eastAsia="zh-CN" w:bidi="ar-SA"/>
    </w:rPr>
  </w:style>
  <w:style w:type="character" w:customStyle="1" w:styleId="15">
    <w:name w:val="正文文本 Char"/>
    <w:basedOn w:val="9"/>
    <w:link w:val="2"/>
    <w:qFormat/>
    <w:uiPriority w:val="99"/>
    <w:rPr>
      <w:rFonts w:ascii="Calibri" w:hAnsi="Calibri" w:eastAsia="宋体" w:cs="Times New Roman"/>
      <w:szCs w:val="20"/>
    </w:rPr>
  </w:style>
  <w:style w:type="character" w:customStyle="1" w:styleId="16">
    <w:name w:val="批注框文本 Char"/>
    <w:basedOn w:val="9"/>
    <w:link w:val="4"/>
    <w:qFormat/>
    <w:uiPriority w:val="99"/>
    <w:rPr>
      <w:rFonts w:ascii="Calibri" w:hAnsi="Calibri" w:eastAsia="宋体" w:cs="Times New Roman"/>
      <w:sz w:val="18"/>
      <w:szCs w:val="18"/>
    </w:rPr>
  </w:style>
  <w:style w:type="character" w:customStyle="1" w:styleId="17">
    <w:name w:val="标题 2 Char"/>
    <w:basedOn w:val="9"/>
    <w:link w:val="3"/>
    <w:qFormat/>
    <w:uiPriority w:val="9"/>
    <w:rPr>
      <w:rFonts w:ascii="宋体" w:hAnsi="宋体" w:cs="宋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B1E119-019B-4CD5-813A-18AFDF656DF6}">
  <ds:schemaRefs/>
</ds:datastoreItem>
</file>

<file path=docProps/app.xml><?xml version="1.0" encoding="utf-8"?>
<Properties xmlns="http://schemas.openxmlformats.org/officeDocument/2006/extended-properties" xmlns:vt="http://schemas.openxmlformats.org/officeDocument/2006/docPropsVTypes">
  <Template>Normal</Template>
  <Pages>2</Pages>
  <Words>117</Words>
  <Characters>668</Characters>
  <Lines>5</Lines>
  <Paragraphs>1</Paragraphs>
  <TotalTime>7</TotalTime>
  <ScaleCrop>false</ScaleCrop>
  <LinksUpToDate>false</LinksUpToDate>
  <CharactersWithSpaces>784</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2020-02-28T00:38:00Z</dcterms:created>
  <dc:creator>王 志超</dc:creator>
  <cp:lastModifiedBy>Administrator</cp:lastModifiedBy>
  <cp:lastPrinted>2020-09-15T08:54:00Z</cp:lastPrinted>
  <dcterms:modified xsi:type="dcterms:W3CDTF">2020-11-26T02:12:35Z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