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ascii="仿宋_GB2312" w:hAnsi="Calibri" w:eastAsia="仿宋_GB2312" w:cs="仿宋_GB2312"/>
          <w:b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仿宋_GB2312" w:hAnsi="Calibri" w:eastAsia="仿宋_GB2312" w:cs="Times New Roman"/>
          <w:b/>
          <w:kern w:val="2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center"/>
      </w:pPr>
      <w:r>
        <w:rPr>
          <w:rFonts w:hint="eastAsia" w:ascii="宋体" w:hAnsi="宋体" w:eastAsia="宋体" w:cs="宋体"/>
          <w:kern w:val="2"/>
          <w:sz w:val="44"/>
          <w:szCs w:val="44"/>
          <w:lang w:val="en-US" w:eastAsia="zh-CN" w:bidi="ar"/>
        </w:rPr>
        <w:t>面</w:t>
      </w:r>
      <w:r>
        <w:rPr>
          <w:rFonts w:hint="eastAsia" w:ascii="宋体" w:hAnsi="宋体" w:eastAsia="宋体" w:cs="Times New Roman"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2"/>
          <w:sz w:val="44"/>
          <w:szCs w:val="44"/>
          <w:lang w:val="en-US" w:eastAsia="zh-CN" w:bidi="ar"/>
        </w:rPr>
        <w:t>试</w:t>
      </w:r>
      <w:r>
        <w:rPr>
          <w:rFonts w:hint="eastAsia" w:ascii="宋体" w:hAnsi="宋体" w:eastAsia="宋体" w:cs="Times New Roman"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2"/>
          <w:sz w:val="44"/>
          <w:szCs w:val="44"/>
          <w:lang w:val="en-US" w:eastAsia="zh-CN" w:bidi="ar"/>
        </w:rPr>
        <w:t>考</w:t>
      </w:r>
      <w:r>
        <w:rPr>
          <w:rFonts w:hint="eastAsia" w:ascii="宋体" w:hAnsi="宋体" w:eastAsia="宋体" w:cs="Times New Roman"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2"/>
          <w:sz w:val="44"/>
          <w:szCs w:val="44"/>
          <w:lang w:val="en-US" w:eastAsia="zh-CN" w:bidi="ar"/>
        </w:rPr>
        <w:t>生</w:t>
      </w:r>
      <w:r>
        <w:rPr>
          <w:rFonts w:hint="eastAsia" w:ascii="宋体" w:hAnsi="宋体" w:eastAsia="宋体" w:cs="Times New Roman"/>
          <w:kern w:val="2"/>
          <w:sz w:val="44"/>
          <w:szCs w:val="44"/>
          <w:lang w:val="en-US" w:eastAsia="zh-CN" w:bidi="ar"/>
        </w:rPr>
        <w:t> </w:t>
      </w:r>
      <w:r>
        <w:rPr>
          <w:rFonts w:hint="eastAsia" w:ascii="宋体" w:hAnsi="宋体" w:eastAsia="宋体" w:cs="宋体"/>
          <w:kern w:val="2"/>
          <w:sz w:val="44"/>
          <w:szCs w:val="44"/>
          <w:lang w:val="en-US" w:eastAsia="zh-CN" w:bidi="ar"/>
        </w:rPr>
        <w:t>须</w:t>
      </w:r>
      <w:r>
        <w:rPr>
          <w:rFonts w:hint="eastAsia" w:ascii="宋体" w:hAnsi="宋体" w:eastAsia="宋体" w:cs="Times New Roman"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2"/>
          <w:sz w:val="44"/>
          <w:szCs w:val="44"/>
          <w:lang w:val="en-US" w:eastAsia="zh-CN" w:bidi="ar"/>
        </w:rPr>
        <w:t>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640" w:firstLineChars="200"/>
        <w:jc w:val="left"/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一、参考人员必须按照规定的时间到指定地点报到并按要求参加面试。凡在规定时间没有报到的，视为自动放弃面试资格。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640" w:firstLineChars="200"/>
        <w:jc w:val="left"/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二、参考人员须持本人有效身份证，笔试准考证。经工作人员审验后方可参加面试。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640" w:firstLineChars="200"/>
        <w:jc w:val="left"/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三、参考人员禁止携带无线通讯工作和与面试无关的物品进入面试考场，已携带的须主动交工作人员保管，否则一经发现，作违反面试纪律处理。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640" w:firstLineChars="200"/>
        <w:jc w:val="left"/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四、参考人员在面试期间要遵守纪律，听从指挥，服从管理。参考人员进入面试考点后即实行集中封闭管理，不得随意走动、大声喧哗，禁止与外界人员接触。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640" w:firstLineChars="200"/>
        <w:jc w:val="left"/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五、面试前，参考人员通过抽签确定参加面试的顺序。面试开始后，由工作人员按顺序逐一引入面试考场。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640" w:firstLineChars="200"/>
        <w:jc w:val="left"/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六、按照有关程序，参考人员在开始答题时需向考官报告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>“开始答题”，答题结束时要报告“回答完毕”。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640" w:firstLineChars="200"/>
        <w:jc w:val="left"/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七、面试结束后参考人员立即离开面试考场。离开时不得带走面试试题、草稿纸等任何面试资料。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640" w:firstLineChars="200"/>
        <w:jc w:val="left"/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八、参考人员违纪，视情节轻重给予警告直至宣布取消面试资格或宣布面试成绩无效。凡在考场内严重扰乱面试秩序，辱骂考官及工作人员，威胁他人安全者，按照有关规定严肃处理。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83445"/>
    <w:rsid w:val="7EE8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2020-11-23T12:38:00Z</dcterms:created>
  <dc:creator>凉薄</dc:creator>
  <cp:lastModifiedBy>凉薄</cp:lastModifiedBy>
  <dcterms:modified xsi:type="dcterms:W3CDTF">2020-11-23T12:38:31Z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