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7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23"/>
          <w:szCs w:val="23"/>
          <w:bdr w:val="none" w:color="auto" w:sz="0" w:space="0"/>
          <w:shd w:val="clear" w:fill="FFFFFF"/>
        </w:rPr>
        <w:t>“信康码”申领方法及相关事宜</w:t>
      </w:r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23"/>
          <w:szCs w:val="23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3"/>
          <w:szCs w:val="23"/>
          <w:bdr w:val="none" w:color="auto" w:sz="0" w:space="0"/>
          <w:shd w:val="clear" w:fill="FFFFFF"/>
        </w:rPr>
        <w:drawing>
          <wp:inline distT="0" distB="0" distL="114300" distR="114300">
            <wp:extent cx="3171825" cy="2200275"/>
            <wp:effectExtent l="0" t="0" r="3175" b="6350"/>
            <wp:docPr id="1" name="图片 1" descr="160509729378402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509729378402570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D62B4"/>
    <w:rsid w:val="6F9D6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2020-11-12T02:13:00Z</dcterms:created>
  <dc:creator>ASUS</dc:creator>
  <cp:lastModifiedBy>ASUS</cp:lastModifiedBy>
  <dcterms:modified xsi:type="dcterms:W3CDTF">2020-11-12T02:13:27Z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