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50" w:line="5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附件1：</w:t>
      </w:r>
    </w:p>
    <w:p>
      <w:pPr>
        <w:spacing w:beforeLines="50" w:afterLines="150"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莒南县村级动物防疫员招聘名额分配表</w:t>
      </w:r>
    </w:p>
    <w:tbl>
      <w:tblPr>
        <w:tblStyle w:val="3"/>
        <w:tblW w:w="6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镇街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拟招聘数量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十字路街道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（含开发区）</w:t>
            </w:r>
          </w:p>
        </w:tc>
        <w:tc>
          <w:tcPr>
            <w:tcW w:w="341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Merge w:val="continue"/>
            <w:vAlign w:val="center"/>
          </w:tcPr>
          <w:p>
            <w:pPr>
              <w:spacing w:line="48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4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大店镇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坪上镇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板泉镇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壮岗镇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文疃镇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朱芦镇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坊前镇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（含产业园）</w:t>
            </w:r>
          </w:p>
        </w:tc>
        <w:tc>
          <w:tcPr>
            <w:tcW w:w="341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4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洙边镇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团林镇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筵宾镇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岭泉镇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石莲子镇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涝坡镇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道口镇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相沟镇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计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2020-11-20T07:22:49Z</dcterms:created>
  <dc:creator>Lenovo</dc:creator>
  <cp:lastModifiedBy>宋伟茂</cp:lastModifiedBy>
  <dcterms:modified xsi:type="dcterms:W3CDTF">2020-11-20T07:22:58Z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