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56C" w:rsidRDefault="0021656C" w:rsidP="0021656C">
      <w:pPr>
        <w:spacing w:line="500" w:lineRule="exac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</w:t>
      </w:r>
    </w:p>
    <w:p w:rsidR="00E03805" w:rsidRDefault="0021656C" w:rsidP="00E03805">
      <w:pPr>
        <w:widowControl/>
        <w:spacing w:line="5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海南软件职业技术学院20</w:t>
      </w:r>
      <w:r w:rsidR="00167C0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20</w:t>
      </w: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年</w:t>
      </w:r>
      <w:r w:rsidR="00ED64D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第</w:t>
      </w:r>
      <w:r w:rsidR="003E3E17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二</w:t>
      </w:r>
      <w:r w:rsidR="00ED64DA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阶段</w:t>
      </w: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公开招聘</w:t>
      </w:r>
      <w:r w:rsidR="00E03805" w:rsidRPr="00E03805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（考核招聘）</w:t>
      </w:r>
    </w:p>
    <w:p w:rsidR="006037C2" w:rsidRPr="006037C2" w:rsidRDefault="0021656C" w:rsidP="00D3392E">
      <w:pPr>
        <w:widowControl/>
        <w:spacing w:afterLines="100" w:after="312" w:line="520" w:lineRule="exact"/>
        <w:jc w:val="center"/>
        <w:rPr>
          <w:rFonts w:ascii="方正小标宋简体" w:eastAsia="方正小标宋简体" w:hAnsi="宋体" w:cs="宋体"/>
          <w:bCs/>
          <w:color w:val="000000"/>
          <w:kern w:val="0"/>
          <w:sz w:val="44"/>
          <w:szCs w:val="44"/>
        </w:rPr>
      </w:pP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取消招聘岗位</w:t>
      </w:r>
      <w:r w:rsidR="00997C59"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一览</w:t>
      </w:r>
      <w:r w:rsidRPr="00997C59">
        <w:rPr>
          <w:rFonts w:ascii="方正小标宋简体" w:eastAsia="方正小标宋简体" w:hAnsi="宋体" w:cs="宋体" w:hint="eastAsia"/>
          <w:bCs/>
          <w:color w:val="000000"/>
          <w:kern w:val="0"/>
          <w:sz w:val="44"/>
          <w:szCs w:val="44"/>
        </w:rPr>
        <w:t>表</w:t>
      </w:r>
    </w:p>
    <w:tbl>
      <w:tblPr>
        <w:tblW w:w="14425" w:type="dxa"/>
        <w:tblLayout w:type="fixed"/>
        <w:tblLook w:val="0000" w:firstRow="0" w:lastRow="0" w:firstColumn="0" w:lastColumn="0" w:noHBand="0" w:noVBand="0"/>
      </w:tblPr>
      <w:tblGrid>
        <w:gridCol w:w="675"/>
        <w:gridCol w:w="1819"/>
        <w:gridCol w:w="1502"/>
        <w:gridCol w:w="648"/>
        <w:gridCol w:w="709"/>
        <w:gridCol w:w="709"/>
        <w:gridCol w:w="3969"/>
        <w:gridCol w:w="1134"/>
        <w:gridCol w:w="2126"/>
        <w:gridCol w:w="1134"/>
      </w:tblGrid>
      <w:tr w:rsidR="006037C2" w:rsidRPr="008172EB" w:rsidTr="0090546F">
        <w:trPr>
          <w:trHeight w:val="450"/>
          <w:tblHeader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部门</w:t>
            </w:r>
          </w:p>
        </w:tc>
        <w:tc>
          <w:tcPr>
            <w:tcW w:w="1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招聘岗位</w:t>
            </w:r>
          </w:p>
        </w:tc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招聘人数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性别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资格条件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>
              <w:rPr>
                <w:rFonts w:ascii="宋体" w:hAnsi="宋体" w:cs="宋体" w:hint="eastAsia"/>
                <w:b/>
                <w:color w:val="000000"/>
                <w:szCs w:val="21"/>
              </w:rPr>
              <w:t>取消招聘岗位情况</w:t>
            </w:r>
          </w:p>
        </w:tc>
      </w:tr>
      <w:tr w:rsidR="006037C2" w:rsidRPr="008172EB" w:rsidTr="0090546F">
        <w:trPr>
          <w:trHeight w:val="375"/>
          <w:tblHeader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300" w:lineRule="exact"/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年龄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专业（方向）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学历</w:t>
            </w:r>
          </w:p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学位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jc w:val="center"/>
              <w:rPr>
                <w:rFonts w:ascii="宋体" w:hAnsi="宋体" w:cs="宋体"/>
                <w:b/>
                <w:color w:val="000000"/>
                <w:szCs w:val="21"/>
              </w:rPr>
            </w:pPr>
            <w:r w:rsidRPr="00223099">
              <w:rPr>
                <w:rFonts w:ascii="宋体" w:hAnsi="宋体" w:cs="宋体" w:hint="eastAsia"/>
                <w:b/>
                <w:color w:val="000000"/>
                <w:szCs w:val="21"/>
              </w:rPr>
              <w:t>其他条件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00" w:lineRule="exact"/>
              <w:rPr>
                <w:rFonts w:ascii="宋体" w:hAnsi="宋体" w:cs="宋体"/>
                <w:color w:val="000000"/>
                <w:szCs w:val="21"/>
              </w:rPr>
            </w:pPr>
          </w:p>
        </w:tc>
      </w:tr>
      <w:tr w:rsidR="006037C2" w:rsidRPr="008172EB" w:rsidTr="0081086A">
        <w:trPr>
          <w:trHeight w:val="11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81086A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6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计算机学科与技术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（人工智能方向）、软件工程（人工智能方向）、电子信息（人工智能方向）、信息与通信工程（人工智能方向）、控制科学与工程（人工智能方向）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教授(同时满足海南领军人才标准)，需具备海外留学经历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81086A">
        <w:trPr>
          <w:trHeight w:val="16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2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7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81086A">
            <w:pPr>
              <w:spacing w:line="26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163538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数据科学、软件工程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大数据分析与挖掘方向）、计算机科学与技术（大数据可视化、数据挖掘方向）、网络空间安全（分布式数据技术、云数据管理技术方向）、计算机应用技术（数据挖掘方向）、人工智能（大数据分析、数据挖掘、管理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7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教授(同时满足海南领军人才标准)，需具备海外留学经历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81086A">
        <w:trPr>
          <w:trHeight w:val="96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网络空间安全（区块链技术方向）、计算机科学与技术（区块链技术方向）、通信计算融合与场景应用（区块链技术方向）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81086A">
        <w:trPr>
          <w:trHeight w:val="113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动画学院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科研/教学人员4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计算机科学与技术（虚拟现实技术方向）、网络空间安全（虚拟现实技术方向）、控制科学与工程（虚拟现实技术方向）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40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6037C2">
            <w:pPr>
              <w:spacing w:line="280" w:lineRule="exact"/>
              <w:jc w:val="center"/>
              <w:rPr>
                <w:rFonts w:ascii="仿宋_GB2312" w:eastAsia="仿宋_GB2312" w:hAnsi="仿宋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经济</w:t>
            </w: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管</w:t>
            </w:r>
            <w:r w:rsidRPr="008172EB">
              <w:rPr>
                <w:rFonts w:ascii="仿宋_GB2312" w:eastAsia="仿宋_GB2312" w:hAnsi="仿宋" w:hint="eastAsia"/>
                <w:color w:val="000000"/>
                <w:sz w:val="18"/>
                <w:szCs w:val="18"/>
              </w:rPr>
              <w:t>理学院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科研/教学人员5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50周岁及以下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2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国际贸易（跨境电商与数字贸易方向）、经济信息管理（电子商务与互联网经济方向）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教授，需具备海外留学经历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81086A">
        <w:trPr>
          <w:trHeight w:val="9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6</w:t>
            </w:r>
          </w:p>
        </w:tc>
        <w:tc>
          <w:tcPr>
            <w:tcW w:w="1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人工智能专业带头人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计算机科学与技术、软件工程、计算机软件与理论、模式识别与智能系统、计算机系统结构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博士研究生/博士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15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E3E1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软件工程学院</w:t>
            </w:r>
          </w:p>
          <w:p w:rsidR="006037C2" w:rsidRPr="00223099" w:rsidRDefault="003E3E17" w:rsidP="003E3E1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（人工智能学院）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大数据专业教师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3E3E17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计算机科学与技术、软件工程、计算机软件与理论、计算机系统结构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3E3E17" w:rsidRDefault="003E3E17" w:rsidP="0081086A">
            <w:pPr>
              <w:widowControl/>
              <w:spacing w:line="18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1.3年以上基于Oracle、MySQL数据库的应用系统开发经验，熟悉SQL，能熟练地运用PL/SQL开发工具</w:t>
            </w:r>
          </w:p>
          <w:p w:rsidR="003E3E17" w:rsidRPr="003E3E17" w:rsidRDefault="003E3E17" w:rsidP="0081086A">
            <w:pPr>
              <w:widowControl/>
              <w:spacing w:line="18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2.3年以上JAVA项目开发经验；有过大型项目经验者优先</w:t>
            </w:r>
          </w:p>
          <w:p w:rsidR="003E3E17" w:rsidRPr="003E3E17" w:rsidRDefault="003E3E17" w:rsidP="0081086A">
            <w:pPr>
              <w:widowControl/>
              <w:spacing w:line="18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3.熟悉常用的开源J2EE框架，如Spring、Hibernate、</w:t>
            </w:r>
            <w:proofErr w:type="spellStart"/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MyBatis</w:t>
            </w:r>
            <w:proofErr w:type="spellEnd"/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、</w:t>
            </w:r>
            <w:proofErr w:type="spellStart"/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SpringMVC</w:t>
            </w:r>
            <w:proofErr w:type="spellEnd"/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等</w:t>
            </w:r>
          </w:p>
          <w:p w:rsidR="003E3E17" w:rsidRPr="003E3E17" w:rsidRDefault="003E3E17" w:rsidP="0081086A">
            <w:pPr>
              <w:widowControl/>
              <w:spacing w:line="180" w:lineRule="exact"/>
              <w:rPr>
                <w:rFonts w:ascii="仿宋_GB2312" w:eastAsia="仿宋_GB2312"/>
                <w:color w:val="000000"/>
                <w:kern w:val="0"/>
                <w:sz w:val="18"/>
                <w:szCs w:val="18"/>
              </w:rPr>
            </w:pPr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4.学习和理解能力强，具有一定的系统分析能力，及独立解决问题的能力</w:t>
            </w:r>
          </w:p>
          <w:p w:rsidR="006037C2" w:rsidRPr="00223099" w:rsidRDefault="003E3E17" w:rsidP="0081086A">
            <w:pPr>
              <w:spacing w:line="1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3E3E17">
              <w:rPr>
                <w:rFonts w:ascii="仿宋_GB2312" w:eastAsia="仿宋_GB2312" w:hint="eastAsia"/>
                <w:color w:val="000000"/>
                <w:kern w:val="0"/>
                <w:sz w:val="18"/>
                <w:szCs w:val="18"/>
              </w:rPr>
              <w:t>5.具备良好的团队合作精神和承受压力的能力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6037C2" w:rsidRPr="008172EB" w:rsidTr="0090546F">
        <w:trPr>
          <w:trHeight w:val="239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9B6F4C" w:rsidP="006037C2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机电工程学院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8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工业机器人</w:t>
            </w:r>
          </w:p>
          <w:p w:rsidR="006037C2" w:rsidRPr="008172EB" w:rsidRDefault="006037C2" w:rsidP="00391807">
            <w:pPr>
              <w:spacing w:line="28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360" w:lineRule="atLeas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8172EB" w:rsidRDefault="006037C2" w:rsidP="00391807">
            <w:pPr>
              <w:spacing w:line="240" w:lineRule="exact"/>
              <w:jc w:val="center"/>
              <w:rPr>
                <w:rFonts w:ascii="仿宋_GB2312" w:eastAsia="仿宋_GB2312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机械工程、电气工程、控制理论与控制工程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6037C2" w:rsidP="0081086A">
            <w:pPr>
              <w:spacing w:line="18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 xml:space="preserve">具有在海内外工业机器人控制机构从事工业机器人的控制、工业机器人编程、工业机器人离线编程及ABB </w:t>
            </w:r>
            <w:proofErr w:type="spellStart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RobotStudio</w:t>
            </w:r>
            <w:proofErr w:type="spellEnd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研究、战略研究2年及以上的工作经历；在海内外工业机器人高端</w:t>
            </w:r>
            <w:proofErr w:type="gramStart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智库组织</w:t>
            </w:r>
            <w:proofErr w:type="gramEnd"/>
            <w:r w:rsidRPr="008172EB">
              <w:rPr>
                <w:rFonts w:ascii="仿宋_GB2312" w:eastAsia="仿宋_GB2312" w:hint="eastAsia"/>
                <w:color w:val="000000"/>
                <w:sz w:val="18"/>
                <w:szCs w:val="18"/>
              </w:rPr>
              <w:t>并形成业界有影响力的决策咨询成果；研究成果具有较高的学术水平和实践价值，得到业内认可。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7C2" w:rsidRPr="00223099" w:rsidRDefault="00223425" w:rsidP="00391807">
            <w:pPr>
              <w:spacing w:line="36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3E3E17" w:rsidRPr="008172EB" w:rsidTr="0090546F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Default="0081086A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lastRenderedPageBreak/>
              <w:t>9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F13BF6">
            <w:pPr>
              <w:widowControl/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网络工程学院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F13BF6">
            <w:pPr>
              <w:widowControl/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计算机网络技术专业教师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F13BF6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计算机科学与技术、物联网工程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81086A">
            <w:pPr>
              <w:widowControl/>
              <w:spacing w:line="220" w:lineRule="exac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1.承担核心专业课程教学（网络设备安装与调试、无线网络技术、IPv6技术应用、网络工程项目管理与实施、SDN技术等）；</w:t>
            </w:r>
          </w:p>
          <w:p w:rsidR="003E3E17" w:rsidRPr="00223099" w:rsidRDefault="003E3E17" w:rsidP="0081086A">
            <w:pPr>
              <w:spacing w:line="22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2.熟悉主流的网络设备（包括：锐捷、H3C、华为）。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Default="00B534D8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  <w:bookmarkStart w:id="0" w:name="_GoBack"/>
            <w:bookmarkEnd w:id="0"/>
          </w:p>
        </w:tc>
      </w:tr>
      <w:tr w:rsidR="003E3E17" w:rsidRPr="008172EB" w:rsidTr="0090546F">
        <w:trPr>
          <w:trHeight w:val="11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网络系统运</w:t>
            </w:r>
            <w:proofErr w:type="gramStart"/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维专业</w:t>
            </w:r>
            <w:proofErr w:type="gramEnd"/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计算机科学与技术、软件工程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3E3E17" w:rsidRPr="008172EB" w:rsidTr="0090546F">
        <w:trPr>
          <w:trHeight w:val="2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网络工程学院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网络专业教师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计算机科学与技术、软件工程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  <w:tr w:rsidR="003E3E17" w:rsidRPr="008172EB" w:rsidTr="0090546F">
        <w:trPr>
          <w:trHeight w:val="173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81086A" w:rsidP="006037C2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动画学院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动画教师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不限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35周岁及以下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动画、游戏、数字媒体艺术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240" w:lineRule="exac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硕士研究生/硕士及以上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E3E17">
            <w:pPr>
              <w:spacing w:line="240" w:lineRule="exact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能够承担：《模型设置》《材质贴图》《灯光渲染》《三维动画技术》等课程的教学工作；熟练使3DMax\MAYA\</w:t>
            </w:r>
            <w:proofErr w:type="spellStart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Zbush</w:t>
            </w:r>
            <w:proofErr w:type="spellEnd"/>
            <w:r w:rsidRPr="00223099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\Unity3D等三维软件及对应插件。扎实的美术功底，较强的美学基础，有良好的三维空间尺度感，具有很好画面整体效果的掌控能力。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3E17" w:rsidRPr="00223099" w:rsidRDefault="003E3E17" w:rsidP="00391807">
            <w:pPr>
              <w:spacing w:line="320" w:lineRule="atLeast"/>
              <w:jc w:val="center"/>
              <w:rPr>
                <w:rFonts w:ascii="仿宋_GB2312" w:eastAsia="仿宋_GB2312" w:hAnsi="宋体" w:cs="宋体"/>
                <w:color w:val="00000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18"/>
                <w:szCs w:val="18"/>
              </w:rPr>
              <w:t>取消</w:t>
            </w:r>
          </w:p>
        </w:tc>
      </w:tr>
    </w:tbl>
    <w:p w:rsidR="006037C2" w:rsidRDefault="006037C2" w:rsidP="0021656C">
      <w:pPr>
        <w:spacing w:line="500" w:lineRule="exact"/>
        <w:rPr>
          <w:rFonts w:ascii="黑体" w:eastAsia="黑体"/>
          <w:sz w:val="32"/>
          <w:szCs w:val="32"/>
        </w:rPr>
        <w:sectPr w:rsidR="006037C2" w:rsidSect="0021656C">
          <w:footerReference w:type="default" r:id="rId7"/>
          <w:pgSz w:w="16838" w:h="11906" w:orient="landscape"/>
          <w:pgMar w:top="1021" w:right="1247" w:bottom="1021" w:left="1247" w:header="851" w:footer="992" w:gutter="0"/>
          <w:pgNumType w:fmt="numberInDash"/>
          <w:cols w:space="720"/>
          <w:docGrid w:type="lines" w:linePitch="312"/>
        </w:sectPr>
      </w:pPr>
    </w:p>
    <w:p w:rsidR="00EB47A9" w:rsidRDefault="00EB47A9" w:rsidP="00946291"/>
    <w:sectPr w:rsidR="00EB47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305" w:rsidRDefault="00973305" w:rsidP="00E03805">
      <w:r>
        <w:separator/>
      </w:r>
    </w:p>
  </w:endnote>
  <w:endnote w:type="continuationSeparator" w:id="0">
    <w:p w:rsidR="00973305" w:rsidRDefault="00973305" w:rsidP="00E03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3718123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946291" w:rsidRPr="00946291" w:rsidRDefault="00946291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946291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946291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946291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B534D8" w:rsidRPr="00B534D8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B534D8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3 -</w:t>
        </w:r>
        <w:r w:rsidRPr="00946291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946291" w:rsidRDefault="0094629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305" w:rsidRDefault="00973305" w:rsidP="00E03805">
      <w:r>
        <w:separator/>
      </w:r>
    </w:p>
  </w:footnote>
  <w:footnote w:type="continuationSeparator" w:id="0">
    <w:p w:rsidR="00973305" w:rsidRDefault="00973305" w:rsidP="00E03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56C"/>
    <w:rsid w:val="00167C09"/>
    <w:rsid w:val="001A34BA"/>
    <w:rsid w:val="0021656C"/>
    <w:rsid w:val="00223425"/>
    <w:rsid w:val="00262EEF"/>
    <w:rsid w:val="003E3E17"/>
    <w:rsid w:val="004F6F3E"/>
    <w:rsid w:val="00557E38"/>
    <w:rsid w:val="006037C2"/>
    <w:rsid w:val="006C1EFD"/>
    <w:rsid w:val="0081086A"/>
    <w:rsid w:val="00854CC4"/>
    <w:rsid w:val="0090546F"/>
    <w:rsid w:val="00946291"/>
    <w:rsid w:val="00973305"/>
    <w:rsid w:val="00997C59"/>
    <w:rsid w:val="009B6F4C"/>
    <w:rsid w:val="009B73A6"/>
    <w:rsid w:val="00A827AE"/>
    <w:rsid w:val="00B534D8"/>
    <w:rsid w:val="00C35B46"/>
    <w:rsid w:val="00D3392E"/>
    <w:rsid w:val="00E03805"/>
    <w:rsid w:val="00E51240"/>
    <w:rsid w:val="00EB47A9"/>
    <w:rsid w:val="00ED64DA"/>
    <w:rsid w:val="00FF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92E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56C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038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038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03805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3392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3392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4</Pages>
  <Words>270</Words>
  <Characters>1543</Characters>
  <Application>Microsoft Office Word</Application>
  <DocSecurity>0</DocSecurity>
  <Lines>12</Lines>
  <Paragraphs>3</Paragraphs>
  <ScaleCrop>false</ScaleCrop>
  <Company>微软用户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22</cp:revision>
  <cp:lastPrinted>2020-11-10T07:55:00Z</cp:lastPrinted>
  <dcterms:created xsi:type="dcterms:W3CDTF">2019-09-17T03:27:00Z</dcterms:created>
  <dcterms:modified xsi:type="dcterms:W3CDTF">2020-11-10T08:13:00Z</dcterms:modified>
</cp:coreProperties>
</file>