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附件1</w:t>
      </w:r>
    </w:p>
    <w:p>
      <w:pPr>
        <w:pStyle w:val="4"/>
        <w:widowControl/>
        <w:spacing w:beforeAutospacing="0" w:afterAutospacing="0" w:line="560" w:lineRule="exact"/>
        <w:jc w:val="center"/>
        <w:rPr>
          <w:rFonts w:hint="eastAsia" w:asciiTheme="minorEastAsia" w:hAnsiTheme="minorEastAsia" w:eastAsiaTheme="minorEastAsia" w:cstheme="minorEastAsia"/>
          <w:sz w:val="24"/>
          <w:szCs w:val="24"/>
        </w:rPr>
      </w:pPr>
      <w:bookmarkStart w:id="0" w:name="_GoBack"/>
      <w:r>
        <w:rPr>
          <w:rFonts w:hint="eastAsia" w:asciiTheme="minorEastAsia" w:hAnsiTheme="minorEastAsia" w:eastAsiaTheme="minorEastAsia" w:cstheme="minorEastAsia"/>
          <w:sz w:val="24"/>
          <w:szCs w:val="24"/>
        </w:rPr>
        <w:t>四川巴中经济开发区直属学校2020年下半年公开选聘教师岗位表</w:t>
      </w:r>
    </w:p>
    <w:bookmarkEnd w:id="0"/>
    <w:p>
      <w:pPr>
        <w:pStyle w:val="4"/>
        <w:widowControl/>
        <w:spacing w:beforeAutospacing="0" w:afterAutospacing="0" w:line="360" w:lineRule="exact"/>
        <w:jc w:val="center"/>
        <w:rPr>
          <w:rFonts w:hint="eastAsia" w:asciiTheme="minorEastAsia" w:hAnsiTheme="minorEastAsia" w:eastAsiaTheme="minorEastAsia" w:cstheme="minorEastAsia"/>
          <w:sz w:val="24"/>
          <w:szCs w:val="24"/>
        </w:rPr>
      </w:pPr>
    </w:p>
    <w:tbl>
      <w:tblPr>
        <w:tblStyle w:val="5"/>
        <w:tblpPr w:leftFromText="180" w:rightFromText="180" w:vertAnchor="text" w:horzAnchor="page" w:tblpX="1211" w:tblpY="375"/>
        <w:tblOverlap w:val="never"/>
        <w:tblW w:w="5051" w:type="pct"/>
        <w:tblInd w:w="0" w:type="dxa"/>
        <w:tblLayout w:type="autofit"/>
        <w:tblCellMar>
          <w:top w:w="0" w:type="dxa"/>
          <w:left w:w="108" w:type="dxa"/>
          <w:bottom w:w="0" w:type="dxa"/>
          <w:right w:w="108" w:type="dxa"/>
        </w:tblCellMar>
      </w:tblPr>
      <w:tblGrid>
        <w:gridCol w:w="745"/>
        <w:gridCol w:w="802"/>
        <w:gridCol w:w="1378"/>
        <w:gridCol w:w="1633"/>
        <w:gridCol w:w="753"/>
        <w:gridCol w:w="1567"/>
        <w:gridCol w:w="1974"/>
        <w:gridCol w:w="4727"/>
        <w:gridCol w:w="740"/>
      </w:tblGrid>
      <w:tr>
        <w:tblPrEx>
          <w:tblCellMar>
            <w:top w:w="0" w:type="dxa"/>
            <w:left w:w="108" w:type="dxa"/>
            <w:bottom w:w="0" w:type="dxa"/>
            <w:right w:w="108" w:type="dxa"/>
          </w:tblCellMar>
        </w:tblPrEx>
        <w:trPr>
          <w:trHeight w:val="538" w:hRule="atLeast"/>
        </w:trPr>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主管单位</w:t>
            </w:r>
          </w:p>
        </w:tc>
        <w:tc>
          <w:tcPr>
            <w:tcW w:w="2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招聘</w:t>
            </w:r>
          </w:p>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单位</w:t>
            </w:r>
          </w:p>
        </w:tc>
        <w:tc>
          <w:tcPr>
            <w:tcW w:w="105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岗位属性</w:t>
            </w:r>
          </w:p>
        </w:tc>
        <w:tc>
          <w:tcPr>
            <w:tcW w:w="2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拟聘人数</w:t>
            </w:r>
          </w:p>
        </w:tc>
        <w:tc>
          <w:tcPr>
            <w:tcW w:w="28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岗位条件</w:t>
            </w:r>
          </w:p>
        </w:tc>
        <w:tc>
          <w:tcPr>
            <w:tcW w:w="2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备注</w:t>
            </w:r>
          </w:p>
        </w:tc>
      </w:tr>
      <w:tr>
        <w:tblPrEx>
          <w:tblCellMar>
            <w:top w:w="0" w:type="dxa"/>
            <w:left w:w="108" w:type="dxa"/>
            <w:bottom w:w="0" w:type="dxa"/>
            <w:right w:w="108" w:type="dxa"/>
          </w:tblCellMar>
        </w:tblPrEx>
        <w:trPr>
          <w:trHeight w:val="562" w:hRule="atLeast"/>
        </w:trPr>
        <w:tc>
          <w:tcPr>
            <w:tcW w:w="26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b/>
                <w:bCs/>
                <w:kern w:val="0"/>
                <w:sz w:val="24"/>
                <w:szCs w:val="24"/>
              </w:rPr>
            </w:pPr>
          </w:p>
        </w:tc>
        <w:tc>
          <w:tcPr>
            <w:tcW w:w="28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b/>
                <w:bCs/>
                <w:kern w:val="0"/>
                <w:sz w:val="24"/>
                <w:szCs w:val="24"/>
              </w:rPr>
            </w:pPr>
          </w:p>
        </w:tc>
        <w:tc>
          <w:tcPr>
            <w:tcW w:w="481" w:type="pct"/>
            <w:tcBorders>
              <w:top w:val="nil"/>
              <w:left w:val="single" w:color="000000" w:sz="4" w:space="0"/>
              <w:bottom w:val="nil"/>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岗位名称</w:t>
            </w:r>
          </w:p>
        </w:tc>
        <w:tc>
          <w:tcPr>
            <w:tcW w:w="570" w:type="pct"/>
            <w:tcBorders>
              <w:top w:val="nil"/>
              <w:left w:val="nil"/>
              <w:bottom w:val="nil"/>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岗位等级</w:t>
            </w:r>
          </w:p>
        </w:tc>
        <w:tc>
          <w:tcPr>
            <w:tcW w:w="26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b/>
                <w:bCs/>
                <w:kern w:val="0"/>
                <w:sz w:val="24"/>
                <w:szCs w:val="24"/>
              </w:rPr>
            </w:pPr>
          </w:p>
        </w:tc>
        <w:tc>
          <w:tcPr>
            <w:tcW w:w="547" w:type="pct"/>
            <w:tcBorders>
              <w:top w:val="nil"/>
              <w:left w:val="single" w:color="000000" w:sz="4" w:space="0"/>
              <w:bottom w:val="nil"/>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学历要求</w:t>
            </w:r>
          </w:p>
        </w:tc>
        <w:tc>
          <w:tcPr>
            <w:tcW w:w="689" w:type="pct"/>
            <w:tcBorders>
              <w:top w:val="nil"/>
              <w:left w:val="nil"/>
              <w:bottom w:val="nil"/>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专业</w:t>
            </w:r>
          </w:p>
        </w:tc>
        <w:tc>
          <w:tcPr>
            <w:tcW w:w="1649" w:type="pct"/>
            <w:tcBorders>
              <w:top w:val="nil"/>
              <w:left w:val="nil"/>
              <w:bottom w:val="nil"/>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与岗位有关的其它条件</w:t>
            </w:r>
          </w:p>
        </w:tc>
        <w:tc>
          <w:tcPr>
            <w:tcW w:w="25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b/>
                <w:bCs/>
                <w:kern w:val="0"/>
                <w:sz w:val="24"/>
                <w:szCs w:val="24"/>
              </w:rPr>
            </w:pPr>
          </w:p>
        </w:tc>
      </w:tr>
      <w:tr>
        <w:tblPrEx>
          <w:tblCellMar>
            <w:top w:w="0" w:type="dxa"/>
            <w:left w:w="108" w:type="dxa"/>
            <w:bottom w:w="0" w:type="dxa"/>
            <w:right w:w="108" w:type="dxa"/>
          </w:tblCellMar>
        </w:tblPrEx>
        <w:trPr>
          <w:trHeight w:val="1199" w:hRule="atLeast"/>
        </w:trPr>
        <w:tc>
          <w:tcPr>
            <w:tcW w:w="260" w:type="pct"/>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四川巴中经济开发区管理委员会</w:t>
            </w:r>
          </w:p>
        </w:tc>
        <w:tc>
          <w:tcPr>
            <w:tcW w:w="280" w:type="pct"/>
            <w:vMerge w:val="restart"/>
            <w:tcBorders>
              <w:top w:val="single" w:color="auto" w:sz="4" w:space="0"/>
              <w:left w:val="nil"/>
              <w:right w:val="single" w:color="auto" w:sz="4" w:space="0"/>
            </w:tcBorders>
            <w:shd w:val="clear" w:color="000000" w:fill="FFFFFF"/>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kern w:val="0"/>
                <w:sz w:val="24"/>
                <w:szCs w:val="24"/>
              </w:rPr>
              <w:t>四川巴中经济开发区黄家沟实验小学</w:t>
            </w:r>
          </w:p>
        </w:tc>
        <w:tc>
          <w:tcPr>
            <w:tcW w:w="481"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小学语文1</w:t>
            </w:r>
          </w:p>
        </w:tc>
        <w:tc>
          <w:tcPr>
            <w:tcW w:w="570"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专技十三级</w:t>
            </w:r>
          </w:p>
        </w:tc>
        <w:tc>
          <w:tcPr>
            <w:tcW w:w="263"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p>
        </w:tc>
        <w:tc>
          <w:tcPr>
            <w:tcW w:w="547"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本科及以上</w:t>
            </w:r>
          </w:p>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学士及以上</w:t>
            </w:r>
          </w:p>
        </w:tc>
        <w:tc>
          <w:tcPr>
            <w:tcW w:w="6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本科：中国语言</w:t>
            </w:r>
          </w:p>
          <w:p>
            <w:pPr>
              <w:widowControl/>
              <w:spacing w:line="2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文学类</w:t>
            </w:r>
          </w:p>
          <w:p>
            <w:pPr>
              <w:widowControl/>
              <w:spacing w:line="24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研究生：不限</w:t>
            </w:r>
          </w:p>
        </w:tc>
        <w:tc>
          <w:tcPr>
            <w:tcW w:w="1649"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35周岁以下，获得县级及以上教育行政部门表彰奖励。</w:t>
            </w:r>
          </w:p>
        </w:tc>
        <w:tc>
          <w:tcPr>
            <w:tcW w:w="258" w:type="pct"/>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　</w:t>
            </w:r>
          </w:p>
        </w:tc>
      </w:tr>
      <w:tr>
        <w:tblPrEx>
          <w:tblCellMar>
            <w:top w:w="0" w:type="dxa"/>
            <w:left w:w="108" w:type="dxa"/>
            <w:bottom w:w="0" w:type="dxa"/>
            <w:right w:w="108" w:type="dxa"/>
          </w:tblCellMar>
        </w:tblPrEx>
        <w:trPr>
          <w:trHeight w:val="1129" w:hRule="atLeast"/>
        </w:trPr>
        <w:tc>
          <w:tcPr>
            <w:tcW w:w="260"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4"/>
                <w:szCs w:val="24"/>
              </w:rPr>
            </w:pPr>
          </w:p>
        </w:tc>
        <w:tc>
          <w:tcPr>
            <w:tcW w:w="280" w:type="pct"/>
            <w:vMerge w:val="continue"/>
            <w:tcBorders>
              <w:left w:val="nil"/>
              <w:right w:val="single" w:color="auto" w:sz="4" w:space="0"/>
            </w:tcBorders>
            <w:shd w:val="clear" w:color="000000" w:fill="FFFFFF"/>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p>
        </w:tc>
        <w:tc>
          <w:tcPr>
            <w:tcW w:w="481" w:type="pct"/>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小学语文2</w:t>
            </w:r>
          </w:p>
        </w:tc>
        <w:tc>
          <w:tcPr>
            <w:tcW w:w="570" w:type="pct"/>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专技十级</w:t>
            </w:r>
          </w:p>
        </w:tc>
        <w:tc>
          <w:tcPr>
            <w:tcW w:w="263" w:type="pct"/>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p>
        </w:tc>
        <w:tc>
          <w:tcPr>
            <w:tcW w:w="547" w:type="pct"/>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本科及以上</w:t>
            </w:r>
          </w:p>
        </w:tc>
        <w:tc>
          <w:tcPr>
            <w:tcW w:w="68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不限</w:t>
            </w:r>
          </w:p>
        </w:tc>
        <w:tc>
          <w:tcPr>
            <w:tcW w:w="1649" w:type="pct"/>
            <w:tcBorders>
              <w:top w:val="nil"/>
              <w:left w:val="nil"/>
              <w:bottom w:val="single" w:color="auto" w:sz="4" w:space="0"/>
              <w:right w:val="single" w:color="auto" w:sz="4" w:space="0"/>
            </w:tcBorders>
            <w:shd w:val="clear" w:color="000000" w:fill="FFFFFF"/>
            <w:vAlign w:val="center"/>
          </w:tcPr>
          <w:p>
            <w:pPr>
              <w:widowControl/>
              <w:spacing w:line="240" w:lineRule="exac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40周岁以下，获得县级及以上教育行政部门组织的课堂教学展评一等奖或县级及以上教育教学荣誉称号。</w:t>
            </w:r>
          </w:p>
        </w:tc>
        <w:tc>
          <w:tcPr>
            <w:tcW w:w="258" w:type="pct"/>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　</w:t>
            </w:r>
          </w:p>
        </w:tc>
      </w:tr>
      <w:tr>
        <w:tblPrEx>
          <w:tblCellMar>
            <w:top w:w="0" w:type="dxa"/>
            <w:left w:w="108" w:type="dxa"/>
            <w:bottom w:w="0" w:type="dxa"/>
            <w:right w:w="108" w:type="dxa"/>
          </w:tblCellMar>
        </w:tblPrEx>
        <w:trPr>
          <w:trHeight w:val="1260" w:hRule="atLeast"/>
        </w:trPr>
        <w:tc>
          <w:tcPr>
            <w:tcW w:w="260" w:type="pct"/>
            <w:vMerge w:val="continue"/>
            <w:tcBorders>
              <w:left w:val="single" w:color="auto" w:sz="4" w:space="0"/>
              <w:right w:val="single" w:color="auto" w:sz="4" w:space="0"/>
            </w:tcBorders>
            <w:shd w:val="clear" w:color="000000" w:fill="FFFFFF"/>
            <w:vAlign w:val="center"/>
          </w:tcPr>
          <w:p>
            <w:pPr>
              <w:widowControl/>
              <w:spacing w:line="240" w:lineRule="exact"/>
              <w:jc w:val="center"/>
              <w:rPr>
                <w:rFonts w:hint="eastAsia" w:asciiTheme="minorEastAsia" w:hAnsiTheme="minorEastAsia" w:eastAsiaTheme="minorEastAsia" w:cstheme="minorEastAsia"/>
                <w:kern w:val="0"/>
                <w:sz w:val="24"/>
                <w:szCs w:val="24"/>
              </w:rPr>
            </w:pPr>
          </w:p>
        </w:tc>
        <w:tc>
          <w:tcPr>
            <w:tcW w:w="280" w:type="pct"/>
            <w:vMerge w:val="continue"/>
            <w:tcBorders>
              <w:left w:val="nil"/>
              <w:right w:val="single" w:color="auto" w:sz="4" w:space="0"/>
            </w:tcBorders>
            <w:shd w:val="clear" w:color="000000" w:fill="FFFFFF"/>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p>
        </w:tc>
        <w:tc>
          <w:tcPr>
            <w:tcW w:w="481" w:type="pct"/>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小学数学1</w:t>
            </w:r>
          </w:p>
        </w:tc>
        <w:tc>
          <w:tcPr>
            <w:tcW w:w="570" w:type="pct"/>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专技十三级</w:t>
            </w:r>
          </w:p>
        </w:tc>
        <w:tc>
          <w:tcPr>
            <w:tcW w:w="263" w:type="pct"/>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p>
        </w:tc>
        <w:tc>
          <w:tcPr>
            <w:tcW w:w="547" w:type="pct"/>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本科及以上</w:t>
            </w:r>
          </w:p>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学士及以上</w:t>
            </w:r>
          </w:p>
        </w:tc>
        <w:tc>
          <w:tcPr>
            <w:tcW w:w="68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本科：教育类、</w:t>
            </w:r>
          </w:p>
          <w:p>
            <w:pPr>
              <w:widowControl/>
              <w:spacing w:line="2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数学类</w:t>
            </w:r>
          </w:p>
          <w:p>
            <w:pPr>
              <w:widowControl/>
              <w:spacing w:line="24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研究生：不限</w:t>
            </w:r>
          </w:p>
        </w:tc>
        <w:tc>
          <w:tcPr>
            <w:tcW w:w="1649" w:type="pct"/>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35周岁以下，获得县级及以上教育行政部门表彰奖励。</w:t>
            </w:r>
          </w:p>
        </w:tc>
        <w:tc>
          <w:tcPr>
            <w:tcW w:w="258" w:type="pct"/>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　</w:t>
            </w:r>
          </w:p>
        </w:tc>
      </w:tr>
      <w:tr>
        <w:tblPrEx>
          <w:tblCellMar>
            <w:top w:w="0" w:type="dxa"/>
            <w:left w:w="108" w:type="dxa"/>
            <w:bottom w:w="0" w:type="dxa"/>
            <w:right w:w="108" w:type="dxa"/>
          </w:tblCellMar>
        </w:tblPrEx>
        <w:trPr>
          <w:trHeight w:val="1298" w:hRule="atLeast"/>
        </w:trPr>
        <w:tc>
          <w:tcPr>
            <w:tcW w:w="260" w:type="pct"/>
            <w:vMerge w:val="continue"/>
            <w:tcBorders>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hint="eastAsia" w:asciiTheme="minorEastAsia" w:hAnsiTheme="minorEastAsia" w:eastAsiaTheme="minorEastAsia" w:cstheme="minorEastAsia"/>
                <w:kern w:val="0"/>
                <w:sz w:val="24"/>
                <w:szCs w:val="24"/>
              </w:rPr>
            </w:pPr>
          </w:p>
        </w:tc>
        <w:tc>
          <w:tcPr>
            <w:tcW w:w="280" w:type="pct"/>
            <w:vMerge w:val="continue"/>
            <w:tcBorders>
              <w:left w:val="nil"/>
              <w:bottom w:val="single" w:color="auto" w:sz="4" w:space="0"/>
              <w:right w:val="single" w:color="auto" w:sz="4" w:space="0"/>
            </w:tcBorders>
            <w:shd w:val="clear" w:color="000000" w:fill="FFFFFF"/>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p>
        </w:tc>
        <w:tc>
          <w:tcPr>
            <w:tcW w:w="481" w:type="pct"/>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小学数学2</w:t>
            </w:r>
          </w:p>
        </w:tc>
        <w:tc>
          <w:tcPr>
            <w:tcW w:w="570" w:type="pct"/>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专技十级</w:t>
            </w:r>
          </w:p>
        </w:tc>
        <w:tc>
          <w:tcPr>
            <w:tcW w:w="263" w:type="pct"/>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p>
        </w:tc>
        <w:tc>
          <w:tcPr>
            <w:tcW w:w="547" w:type="pct"/>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本科及以上</w:t>
            </w:r>
          </w:p>
        </w:tc>
        <w:tc>
          <w:tcPr>
            <w:tcW w:w="689" w:type="pct"/>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不限</w:t>
            </w:r>
          </w:p>
        </w:tc>
        <w:tc>
          <w:tcPr>
            <w:tcW w:w="1649" w:type="pct"/>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40周岁以下，获得县级及以上教育行政部门组织的课堂教学展评一等奖或县级及以上教育教学荣誉称号。</w:t>
            </w:r>
          </w:p>
        </w:tc>
        <w:tc>
          <w:tcPr>
            <w:tcW w:w="258" w:type="pct"/>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bl>
    <w:p>
      <w:pPr>
        <w:rPr>
          <w:rFonts w:hint="eastAsia" w:asciiTheme="minorEastAsia" w:hAnsiTheme="minorEastAsia" w:eastAsiaTheme="minorEastAsia" w:cstheme="minorEastAsia"/>
          <w:color w:val="000000"/>
          <w:sz w:val="24"/>
          <w:szCs w:val="24"/>
        </w:rPr>
        <w:sectPr>
          <w:footerReference r:id="rId3" w:type="default"/>
          <w:pgSz w:w="16838" w:h="11906" w:orient="landscape"/>
          <w:pgMar w:top="1800" w:right="1440" w:bottom="1800" w:left="1440" w:header="851" w:footer="992" w:gutter="0"/>
          <w:cols w:space="425" w:num="1"/>
          <w:docGrid w:type="lines" w:linePitch="312" w:charSpace="0"/>
        </w:sectPr>
      </w:pP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A2273"/>
    <w:rsid w:val="00737F8E"/>
    <w:rsid w:val="1DEA1BCA"/>
    <w:rsid w:val="5AD85A78"/>
    <w:rsid w:val="5C3A2273"/>
    <w:rsid w:val="747F3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2020-11-05T08:19:00Z</dcterms:created>
  <dc:creator>麦田守望</dc:creator>
  <cp:lastModifiedBy>麦田守望</cp:lastModifiedBy>
  <dcterms:modified xsi:type="dcterms:W3CDTF">2020-11-05T08:20:22Z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