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r>
        <w:rPr>
          <w:rFonts w:ascii="宋体" w:hAnsi="宋体" w:eastAsia="宋体" w:cs="宋体"/>
          <w:sz w:val="28"/>
          <w:szCs w:val="28"/>
        </w:rPr>
        <w:t>2014年，以加工贸易方式出口铁路设备146.2亿元，增长12.9%，占54.6%；以一般贸易方式出口111.3亿元，增长35.8%，占41.6%。此外，以对外承包工程出口货物方式出口8.1亿元，增长30.4%。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2013年，我国铁路设备出口方式中，以加工贸易方式出口比以一般贸易方式出口：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A. 约多35亿元        B. 约多47.5亿元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C. 约少35亿元        D. 约少47.5亿元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45B3D"/>
    <w:rsid w:val="15C4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2020-10-29T04:47:00Z</dcterms:created>
  <dc:creator>可爱的小苏童鞋</dc:creator>
  <cp:lastModifiedBy>可爱的小苏童鞋</cp:lastModifiedBy>
  <dcterms:modified xsi:type="dcterms:W3CDTF">2020-10-29T04:48:14Z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